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33" w:rsidRDefault="00F82133">
      <w:pPr>
        <w:contextualSpacing w:val="0"/>
        <w:jc w:val="center"/>
        <w:rPr>
          <w:rFonts w:ascii="Times New Roman" w:eastAsia="Times New Roman" w:hAnsi="Times New Roman" w:cs="Times New Roman"/>
          <w:sz w:val="30"/>
          <w:szCs w:val="30"/>
        </w:rPr>
      </w:pPr>
      <w:bookmarkStart w:id="0" w:name="_GoBack"/>
      <w:bookmarkEnd w:id="0"/>
    </w:p>
    <w:p w:rsidR="00F82133" w:rsidRDefault="00B00906">
      <w:pPr>
        <w:contextualSpacing w:val="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p>
    <w:p w:rsidR="00F82133" w:rsidRDefault="00F82133">
      <w:pPr>
        <w:contextualSpacing w:val="0"/>
        <w:jc w:val="center"/>
      </w:pPr>
    </w:p>
    <w:p w:rsidR="00F82133" w:rsidRDefault="00B00906">
      <w:pPr>
        <w:pStyle w:val="Title"/>
        <w:contextualSpacing w:val="0"/>
        <w:jc w:val="center"/>
      </w:pPr>
      <w:bookmarkStart w:id="1" w:name="_5vypd0xitc97" w:colFirst="0" w:colLast="0"/>
      <w:bookmarkEnd w:id="1"/>
      <w:r>
        <w:t>SAMPLE COMMENT LETTER ON PROPOSED RULEMAKING - INADMISSIBILITY ON PUBLIC CHARGE GROUNDS</w:t>
      </w:r>
    </w:p>
    <w:p w:rsidR="00F82133" w:rsidRDefault="00F82133">
      <w:pPr>
        <w:contextualSpacing w:val="0"/>
      </w:pPr>
    </w:p>
    <w:p w:rsidR="00F82133" w:rsidRDefault="00B00906">
      <w:pPr>
        <w:contextualSpacing w:val="0"/>
        <w:rPr>
          <w:i/>
        </w:rPr>
      </w:pPr>
      <w:r>
        <w:rPr>
          <w:i/>
        </w:rPr>
        <w:t xml:space="preserve">Submit via Federal </w:t>
      </w:r>
      <w:proofErr w:type="spellStart"/>
      <w:r>
        <w:rPr>
          <w:i/>
        </w:rPr>
        <w:t>eRulemaking</w:t>
      </w:r>
      <w:proofErr w:type="spellEnd"/>
      <w:r>
        <w:rPr>
          <w:i/>
        </w:rPr>
        <w:t xml:space="preserve"> Portal </w:t>
      </w:r>
      <w:hyperlink r:id="rId7">
        <w:r>
          <w:rPr>
            <w:i/>
            <w:color w:val="1155CC"/>
            <w:u w:val="single"/>
          </w:rPr>
          <w:t>www.regulations.gov</w:t>
        </w:r>
      </w:hyperlink>
    </w:p>
    <w:p w:rsidR="00F82133" w:rsidRDefault="00F82133">
      <w:pPr>
        <w:contextualSpacing w:val="0"/>
        <w:rPr>
          <w:i/>
        </w:rPr>
      </w:pPr>
    </w:p>
    <w:p w:rsidR="00F82133" w:rsidRDefault="00B00906">
      <w:pPr>
        <w:pStyle w:val="Title"/>
        <w:contextualSpacing w:val="0"/>
        <w:jc w:val="center"/>
        <w:rPr>
          <w:u w:val="single"/>
        </w:rPr>
      </w:pPr>
      <w:bookmarkStart w:id="2" w:name="_oojisyndn7pn" w:colFirst="0" w:colLast="0"/>
      <w:bookmarkEnd w:id="2"/>
      <w:r>
        <w:rPr>
          <w:u w:val="single"/>
        </w:rPr>
        <w:t>Instructions for using template to draft customized comments</w:t>
      </w:r>
    </w:p>
    <w:p w:rsidR="00F82133" w:rsidRDefault="00B00906">
      <w:pPr>
        <w:contextualSpacing w:val="0"/>
        <w:rPr>
          <w:highlight w:val="white"/>
        </w:rPr>
      </w:pPr>
      <w:r>
        <w:rPr>
          <w:highlight w:val="white"/>
        </w:rPr>
        <w:t>Attached is a template to help you draft your own comments in opposition to the public charge notice of proposed rulemaking. You may receive several template comments from different organizations</w:t>
      </w:r>
      <w:r>
        <w:rPr>
          <w:highlight w:val="white"/>
        </w:rPr>
        <w:t>, and we encourage you to use the template or template sections of your choice and to mix and match.</w:t>
      </w:r>
    </w:p>
    <w:p w:rsidR="00F82133" w:rsidRDefault="00F82133">
      <w:pPr>
        <w:contextualSpacing w:val="0"/>
        <w:rPr>
          <w:highlight w:val="white"/>
        </w:rPr>
      </w:pPr>
    </w:p>
    <w:p w:rsidR="00F82133" w:rsidRDefault="00B00906">
      <w:pPr>
        <w:contextualSpacing w:val="0"/>
        <w:rPr>
          <w:highlight w:val="white"/>
        </w:rPr>
      </w:pPr>
      <w:r>
        <w:rPr>
          <w:highlight w:val="white"/>
        </w:rPr>
        <w:t xml:space="preserve">Comments should be submitted online at </w:t>
      </w:r>
      <w:r>
        <w:rPr>
          <w:color w:val="1155CC"/>
          <w:highlight w:val="white"/>
        </w:rPr>
        <w:t>https://www.regulations.gov/document?D=USCIS-2010-0012-0001​</w:t>
      </w:r>
      <w:r>
        <w:rPr>
          <w:highlight w:val="white"/>
        </w:rPr>
        <w:t>. Click on “comment now” and ​either enter your comment</w:t>
      </w:r>
      <w:r>
        <w:rPr>
          <w:highlight w:val="white"/>
        </w:rPr>
        <w:t xml:space="preserve"> in the text box (must be fewer than 5000 characters) or upload your comments as a PDF.  ​As you are drafting your comment, here are some important tips to keep in mind. </w:t>
      </w:r>
    </w:p>
    <w:p w:rsidR="00F82133" w:rsidRDefault="00B00906">
      <w:pPr>
        <w:contextualSpacing w:val="0"/>
        <w:rPr>
          <w:highlight w:val="white"/>
        </w:rPr>
      </w:pPr>
      <w:r>
        <w:rPr>
          <w:highlight w:val="white"/>
        </w:rPr>
        <w:t xml:space="preserve"> </w:t>
      </w:r>
    </w:p>
    <w:p w:rsidR="00F82133" w:rsidRDefault="00B00906">
      <w:pPr>
        <w:contextualSpacing w:val="0"/>
        <w:rPr>
          <w:highlight w:val="yellow"/>
        </w:rPr>
      </w:pPr>
      <w:r>
        <w:rPr>
          <w:b/>
          <w:highlight w:val="white"/>
        </w:rPr>
        <w:t xml:space="preserve">Write comments in your own </w:t>
      </w:r>
      <w:proofErr w:type="gramStart"/>
      <w:r>
        <w:rPr>
          <w:b/>
          <w:highlight w:val="white"/>
        </w:rPr>
        <w:t>words.​</w:t>
      </w:r>
      <w:proofErr w:type="gramEnd"/>
      <w:r>
        <w:rPr>
          <w:highlight w:val="white"/>
        </w:rPr>
        <w:t xml:space="preserve"> Agency staff must code and organize all comments</w:t>
      </w:r>
      <w:r>
        <w:rPr>
          <w:highlight w:val="white"/>
        </w:rPr>
        <w:t xml:space="preserve">, and the process is very different if they have to pause and consider what’s similar and what’s different in each comment, as opposed to just counting the number of commenters saying the same thing. It’s fine to work from a sample comment, but you should </w:t>
      </w:r>
      <w:r>
        <w:rPr>
          <w:highlight w:val="white"/>
        </w:rPr>
        <w:t>modify it to reflect your own thoughts and experiences so that it counts as a ​</w:t>
      </w:r>
      <w:r>
        <w:rPr>
          <w:i/>
          <w:highlight w:val="white"/>
        </w:rPr>
        <w:t>unique​</w:t>
      </w:r>
      <w:r>
        <w:rPr>
          <w:highlight w:val="white"/>
        </w:rPr>
        <w:t xml:space="preserve"> comment. ​</w:t>
      </w:r>
      <w:r>
        <w:rPr>
          <w:highlight w:val="yellow"/>
        </w:rPr>
        <w:t xml:space="preserve">Directions in YELLOW indicate sections that you should customize as you create your comment​. </w:t>
      </w:r>
    </w:p>
    <w:p w:rsidR="00F82133" w:rsidRDefault="00B00906">
      <w:pPr>
        <w:contextualSpacing w:val="0"/>
        <w:rPr>
          <w:highlight w:val="white"/>
        </w:rPr>
      </w:pPr>
      <w:r>
        <w:rPr>
          <w:highlight w:val="white"/>
        </w:rPr>
        <w:t xml:space="preserve"> </w:t>
      </w:r>
    </w:p>
    <w:p w:rsidR="00F82133" w:rsidRDefault="00B00906">
      <w:pPr>
        <w:contextualSpacing w:val="0"/>
        <w:rPr>
          <w:highlight w:val="white"/>
        </w:rPr>
      </w:pPr>
      <w:r>
        <w:rPr>
          <w:highlight w:val="white"/>
        </w:rPr>
        <w:t xml:space="preserve"> Here are a few recommended approaches. </w:t>
      </w:r>
    </w:p>
    <w:p w:rsidR="00F82133" w:rsidRDefault="00B00906">
      <w:pPr>
        <w:numPr>
          <w:ilvl w:val="0"/>
          <w:numId w:val="1"/>
        </w:numPr>
        <w:rPr>
          <w:highlight w:val="white"/>
        </w:rPr>
      </w:pPr>
      <w:r>
        <w:rPr>
          <w:highlight w:val="white"/>
        </w:rPr>
        <w:t xml:space="preserve">If you are an </w:t>
      </w:r>
      <w:r>
        <w:rPr>
          <w:highlight w:val="white"/>
          <w:u w:val="single"/>
        </w:rPr>
        <w:t>​</w:t>
      </w:r>
      <w:r>
        <w:rPr>
          <w:highlight w:val="white"/>
          <w:u w:val="single"/>
        </w:rPr>
        <w:t>expert</w:t>
      </w:r>
      <w:r>
        <w:rPr>
          <w:highlight w:val="white"/>
          <w:u w:val="single"/>
        </w:rPr>
        <w:t>​</w:t>
      </w:r>
      <w:r>
        <w:rPr>
          <w:highlight w:val="white"/>
          <w:u w:val="single"/>
        </w:rPr>
        <w:t xml:space="preserve"> </w:t>
      </w:r>
      <w:r>
        <w:rPr>
          <w:highlight w:val="white"/>
        </w:rPr>
        <w:t>on a program, please detail how that program improves people’s lives. For example: ​</w:t>
      </w:r>
      <w:r>
        <w:rPr>
          <w:i/>
          <w:highlight w:val="white"/>
        </w:rPr>
        <w:t>I oppose the proposed public charge rule that would force many survivors of domestic violence and sexual assault and their families to disenroll from housing and food ass</w:t>
      </w:r>
      <w:r>
        <w:rPr>
          <w:i/>
          <w:highlight w:val="white"/>
        </w:rPr>
        <w:t>istance programs necessary to escape and recover from trauma and instead keep them trapped in abusive situations. (add data and examples</w:t>
      </w:r>
      <w:proofErr w:type="gramStart"/>
      <w:r>
        <w:rPr>
          <w:i/>
          <w:highlight w:val="white"/>
        </w:rPr>
        <w:t>).​</w:t>
      </w:r>
      <w:proofErr w:type="gramEnd"/>
      <w:r>
        <w:rPr>
          <w:highlight w:val="white"/>
        </w:rPr>
        <w:t xml:space="preserve">  Please explain your expertise, and cite relevant research.  </w:t>
      </w:r>
    </w:p>
    <w:p w:rsidR="00F82133" w:rsidRDefault="00B00906">
      <w:pPr>
        <w:numPr>
          <w:ilvl w:val="0"/>
          <w:numId w:val="1"/>
        </w:numPr>
        <w:rPr>
          <w:highlight w:val="white"/>
        </w:rPr>
      </w:pPr>
      <w:r>
        <w:rPr>
          <w:highlight w:val="white"/>
        </w:rPr>
        <w:t>If you ​</w:t>
      </w:r>
      <w:r>
        <w:rPr>
          <w:highlight w:val="white"/>
          <w:u w:val="single"/>
        </w:rPr>
        <w:t>work directly with immigrants</w:t>
      </w:r>
      <w:r>
        <w:rPr>
          <w:highlight w:val="white"/>
        </w:rPr>
        <w:t>​</w:t>
      </w:r>
      <w:r>
        <w:rPr>
          <w:highlight w:val="white"/>
        </w:rPr>
        <w:t>, please describ</w:t>
      </w:r>
      <w:r>
        <w:rPr>
          <w:highlight w:val="white"/>
        </w:rPr>
        <w:t xml:space="preserve">e why they usually come to the country; how they use government benefits, what it means for the well-being of them and their children; and how they contribute to their families and community. </w:t>
      </w:r>
    </w:p>
    <w:p w:rsidR="00F82133" w:rsidRDefault="00B00906">
      <w:pPr>
        <w:numPr>
          <w:ilvl w:val="0"/>
          <w:numId w:val="1"/>
        </w:numPr>
        <w:rPr>
          <w:highlight w:val="white"/>
        </w:rPr>
      </w:pPr>
      <w:r>
        <w:rPr>
          <w:highlight w:val="white"/>
        </w:rPr>
        <w:t xml:space="preserve">If you are a </w:t>
      </w:r>
      <w:r>
        <w:rPr>
          <w:highlight w:val="white"/>
          <w:u w:val="single"/>
        </w:rPr>
        <w:t>​</w:t>
      </w:r>
      <w:r>
        <w:rPr>
          <w:highlight w:val="white"/>
          <w:u w:val="single"/>
        </w:rPr>
        <w:t>concerned individual</w:t>
      </w:r>
      <w:r>
        <w:rPr>
          <w:highlight w:val="white"/>
        </w:rPr>
        <w:t>​</w:t>
      </w:r>
      <w:r>
        <w:rPr>
          <w:highlight w:val="white"/>
        </w:rPr>
        <w:t xml:space="preserve"> that thinks this is wrong, </w:t>
      </w:r>
      <w:r>
        <w:rPr>
          <w:highlight w:val="white"/>
        </w:rPr>
        <w:t xml:space="preserve">explain what you think our country’s values should be and why this change goes against it. You may want to talk about the realities of the lack of employment opportunities for survivors subjected to financial </w:t>
      </w:r>
      <w:proofErr w:type="gramStart"/>
      <w:r>
        <w:rPr>
          <w:highlight w:val="white"/>
        </w:rPr>
        <w:t>abuse, and</w:t>
      </w:r>
      <w:proofErr w:type="gramEnd"/>
      <w:r>
        <w:rPr>
          <w:highlight w:val="white"/>
        </w:rPr>
        <w:t xml:space="preserve"> explain why those survivors shouldn’</w:t>
      </w:r>
      <w:r>
        <w:rPr>
          <w:highlight w:val="white"/>
        </w:rPr>
        <w:t>t be penalized based on the inability to demonstrate current employment due to abusive partners sabotaging employment, lack of access to private or employer sponsored insurance, or lack of affordable housing available to survivors.</w:t>
      </w:r>
    </w:p>
    <w:p w:rsidR="00F82133" w:rsidRDefault="00B00906">
      <w:pPr>
        <w:numPr>
          <w:ilvl w:val="0"/>
          <w:numId w:val="1"/>
        </w:numPr>
        <w:rPr>
          <w:highlight w:val="white"/>
        </w:rPr>
      </w:pPr>
      <w:r>
        <w:rPr>
          <w:highlight w:val="white"/>
        </w:rPr>
        <w:lastRenderedPageBreak/>
        <w:t xml:space="preserve">If you have </w:t>
      </w:r>
      <w:r>
        <w:rPr>
          <w:highlight w:val="white"/>
          <w:u w:val="single"/>
        </w:rPr>
        <w:t>ever partici</w:t>
      </w:r>
      <w:r>
        <w:rPr>
          <w:highlight w:val="white"/>
          <w:u w:val="single"/>
        </w:rPr>
        <w:t>pated in a basic needs program</w:t>
      </w:r>
      <w:r>
        <w:rPr>
          <w:highlight w:val="white"/>
        </w:rPr>
        <w:t xml:space="preserve"> like SNAP, Medicaid, or housing assistance, you can also talk about the role that access to benefits has played in your own life. For example: ​</w:t>
      </w:r>
      <w:r>
        <w:rPr>
          <w:i/>
          <w:highlight w:val="white"/>
        </w:rPr>
        <w:t>I am a domestic violence survivor and the housing assistance that I received help</w:t>
      </w:r>
      <w:r>
        <w:rPr>
          <w:i/>
          <w:highlight w:val="white"/>
        </w:rPr>
        <w:t>ed me to leave an abusive relationship, find employment, provide a safe environment for my children, and participate in my community.  I received essential housing vouchers that allowed me and my family to avoid falling into poverty and homelessness. Witho</w:t>
      </w:r>
      <w:r>
        <w:rPr>
          <w:i/>
          <w:highlight w:val="white"/>
        </w:rPr>
        <w:t xml:space="preserve">ut access to these housing vouchers, I would not have been able to leave the violent environment, provide for my children’s basic needs, and gain financial independence. We must ensure that all survivors of domestic violence and sexual assault have access </w:t>
      </w:r>
      <w:r>
        <w:rPr>
          <w:i/>
          <w:highlight w:val="white"/>
        </w:rPr>
        <w:t xml:space="preserve">to safe housing, regardless of where they or their parents were born. </w:t>
      </w:r>
      <w:r>
        <w:rPr>
          <w:highlight w:val="white"/>
        </w:rPr>
        <w:t xml:space="preserve"> </w:t>
      </w:r>
    </w:p>
    <w:p w:rsidR="00F82133" w:rsidRDefault="00B00906">
      <w:pPr>
        <w:numPr>
          <w:ilvl w:val="0"/>
          <w:numId w:val="1"/>
        </w:numPr>
        <w:rPr>
          <w:highlight w:val="white"/>
        </w:rPr>
      </w:pPr>
      <w:r>
        <w:rPr>
          <w:highlight w:val="white"/>
        </w:rPr>
        <w:t xml:space="preserve">If you have </w:t>
      </w:r>
      <w:r>
        <w:rPr>
          <w:highlight w:val="white"/>
          <w:u w:val="single"/>
        </w:rPr>
        <w:t>​</w:t>
      </w:r>
      <w:r>
        <w:rPr>
          <w:highlight w:val="white"/>
          <w:u w:val="single"/>
        </w:rPr>
        <w:t>family members that were immigrants and survivors</w:t>
      </w:r>
      <w:r>
        <w:rPr>
          <w:highlight w:val="white"/>
        </w:rPr>
        <w:t>​</w:t>
      </w:r>
      <w:r>
        <w:rPr>
          <w:highlight w:val="white"/>
        </w:rPr>
        <w:t>, describe their experience, especially if you can point to their contributions to America. You may also want to explain how a person’s situation improves over time (learns English, earnings increase, grows up, completes education or training, buys a home</w:t>
      </w:r>
      <w:r>
        <w:rPr>
          <w:highlight w:val="white"/>
        </w:rPr>
        <w:t xml:space="preserve"> or moves into a better neighborhood, creates jobs, etc.).</w:t>
      </w:r>
    </w:p>
    <w:p w:rsidR="00F82133" w:rsidRDefault="00B00906">
      <w:pPr>
        <w:numPr>
          <w:ilvl w:val="0"/>
          <w:numId w:val="1"/>
        </w:numPr>
        <w:rPr>
          <w:highlight w:val="white"/>
        </w:rPr>
      </w:pPr>
      <w:hyperlink r:id="rId8">
        <w:r>
          <w:rPr>
            <w:color w:val="1155CC"/>
            <w:highlight w:val="white"/>
            <w:u w:val="single"/>
          </w:rPr>
          <w:t>Click here</w:t>
        </w:r>
      </w:hyperlink>
      <w:r>
        <w:rPr>
          <w:color w:val="1155CC"/>
          <w:highlight w:val="white"/>
        </w:rPr>
        <w:t>​</w:t>
      </w:r>
      <w:r>
        <w:rPr>
          <w:highlight w:val="white"/>
        </w:rPr>
        <w:t xml:space="preserve"> to see a great example of commenting guidance for community members </w:t>
      </w:r>
    </w:p>
    <w:p w:rsidR="00F82133" w:rsidRDefault="00B00906">
      <w:pPr>
        <w:contextualSpacing w:val="0"/>
        <w:rPr>
          <w:highlight w:val="white"/>
        </w:rPr>
      </w:pPr>
      <w:r>
        <w:rPr>
          <w:highlight w:val="white"/>
        </w:rPr>
        <w:t xml:space="preserve"> </w:t>
      </w:r>
    </w:p>
    <w:p w:rsidR="00F82133" w:rsidRDefault="00B00906">
      <w:pPr>
        <w:contextualSpacing w:val="0"/>
        <w:rPr>
          <w:highlight w:val="white"/>
        </w:rPr>
      </w:pPr>
      <w:r>
        <w:rPr>
          <w:b/>
          <w:highlight w:val="white"/>
        </w:rPr>
        <w:t>Submit se</w:t>
      </w:r>
      <w:r>
        <w:rPr>
          <w:b/>
          <w:highlight w:val="white"/>
        </w:rPr>
        <w:t>parate comments, rather than signing onto comments from someone else.</w:t>
      </w:r>
      <w:r>
        <w:rPr>
          <w:highlight w:val="white"/>
        </w:rPr>
        <w:t xml:space="preserve"> ​Agencies need to count how many comments they receive.  If five people or organizations sign onto one comment letter, that counts as one comment.  If they each send in their own comment</w:t>
      </w:r>
      <w:r>
        <w:rPr>
          <w:highlight w:val="white"/>
        </w:rPr>
        <w:t xml:space="preserve">s, that counts as five comments.  </w:t>
      </w:r>
    </w:p>
    <w:p w:rsidR="00F82133" w:rsidRDefault="00F82133">
      <w:pPr>
        <w:contextualSpacing w:val="0"/>
        <w:rPr>
          <w:highlight w:val="white"/>
        </w:rPr>
      </w:pPr>
    </w:p>
    <w:p w:rsidR="00F82133" w:rsidRDefault="00B00906">
      <w:pPr>
        <w:contextualSpacing w:val="0"/>
        <w:rPr>
          <w:highlight w:val="white"/>
        </w:rPr>
      </w:pPr>
      <w:r>
        <w:rPr>
          <w:b/>
          <w:highlight w:val="white"/>
        </w:rPr>
        <w:t>Don’t suggest corrective language.</w:t>
      </w:r>
      <w:r>
        <w:rPr>
          <w:highlight w:val="white"/>
        </w:rPr>
        <w:t xml:space="preserve"> ​Our </w:t>
      </w:r>
      <w:proofErr w:type="gramStart"/>
      <w:r>
        <w:rPr>
          <w:highlight w:val="white"/>
        </w:rPr>
        <w:t>ultimate goal</w:t>
      </w:r>
      <w:proofErr w:type="gramEnd"/>
      <w:r>
        <w:rPr>
          <w:highlight w:val="white"/>
        </w:rPr>
        <w:t xml:space="preserve"> is to stop this rule from moving forward. Therefore, while it is important to raise concerns, we do not recommend suggesting ways that the agency can “fix” the propos</w:t>
      </w:r>
      <w:r>
        <w:rPr>
          <w:highlight w:val="white"/>
        </w:rPr>
        <w:t xml:space="preserve">ed language.  </w:t>
      </w:r>
    </w:p>
    <w:p w:rsidR="00F82133" w:rsidRDefault="00B00906">
      <w:pPr>
        <w:contextualSpacing w:val="0"/>
        <w:rPr>
          <w:highlight w:val="white"/>
        </w:rPr>
      </w:pPr>
      <w:r>
        <w:rPr>
          <w:highlight w:val="white"/>
        </w:rPr>
        <w:t xml:space="preserve"> </w:t>
      </w:r>
    </w:p>
    <w:p w:rsidR="00F82133" w:rsidRDefault="00B00906">
      <w:pPr>
        <w:contextualSpacing w:val="0"/>
        <w:rPr>
          <w:highlight w:val="white"/>
        </w:rPr>
      </w:pPr>
      <w:r>
        <w:rPr>
          <w:b/>
          <w:highlight w:val="white"/>
        </w:rPr>
        <w:t>Don’t discuss programs that aren’t specifically mentioned in the NPRM.</w:t>
      </w:r>
      <w:r>
        <w:rPr>
          <w:highlight w:val="white"/>
        </w:rPr>
        <w:t xml:space="preserve"> ​Highlighting programs that are not specifically mentioned could give the agency cover to include those programs in the final rule, even though they aren’t in the NPRM.</w:t>
      </w:r>
      <w:r>
        <w:rPr>
          <w:highlight w:val="white"/>
        </w:rPr>
        <w:t xml:space="preserve">  </w:t>
      </w:r>
    </w:p>
    <w:p w:rsidR="00F82133" w:rsidRDefault="00B00906">
      <w:pPr>
        <w:contextualSpacing w:val="0"/>
        <w:rPr>
          <w:highlight w:val="white"/>
        </w:rPr>
      </w:pPr>
      <w:r>
        <w:rPr>
          <w:highlight w:val="white"/>
        </w:rPr>
        <w:t xml:space="preserve"> </w:t>
      </w:r>
    </w:p>
    <w:p w:rsidR="00F82133" w:rsidRDefault="00B00906">
      <w:pPr>
        <w:contextualSpacing w:val="0"/>
        <w:rPr>
          <w:highlight w:val="white"/>
        </w:rPr>
      </w:pPr>
      <w:r>
        <w:rPr>
          <w:b/>
          <w:highlight w:val="white"/>
        </w:rPr>
        <w:t xml:space="preserve">Attach research and supporting documents. </w:t>
      </w:r>
      <w:r>
        <w:rPr>
          <w:highlight w:val="white"/>
        </w:rPr>
        <w:t>​</w:t>
      </w:r>
      <w:r>
        <w:rPr>
          <w:highlight w:val="white"/>
        </w:rPr>
        <w:t>If you cite to research and supporting documents in your comments, we also recommend including them as an attachment so that they are clearly part of the administrative record. Another option is to include a live link to cited sources. If you include link</w:t>
      </w:r>
      <w:r>
        <w:rPr>
          <w:highlight w:val="white"/>
        </w:rPr>
        <w:t xml:space="preserve">s, specifically request that the agency read the material at these links.  </w:t>
      </w:r>
    </w:p>
    <w:p w:rsidR="00F82133" w:rsidRDefault="00F82133">
      <w:pPr>
        <w:contextualSpacing w:val="0"/>
        <w:rPr>
          <w:highlight w:val="white"/>
        </w:rPr>
      </w:pPr>
    </w:p>
    <w:p w:rsidR="00F82133" w:rsidRDefault="00B00906">
      <w:pPr>
        <w:contextualSpacing w:val="0"/>
        <w:rPr>
          <w:highlight w:val="white"/>
        </w:rPr>
      </w:pPr>
      <w:r>
        <w:rPr>
          <w:b/>
          <w:highlight w:val="white"/>
        </w:rPr>
        <w:t xml:space="preserve">If you have credibility in an issue area, say so. </w:t>
      </w:r>
      <w:r>
        <w:rPr>
          <w:highlight w:val="white"/>
        </w:rPr>
        <w:t>​</w:t>
      </w:r>
      <w:r>
        <w:rPr>
          <w:highlight w:val="white"/>
        </w:rPr>
        <w:t xml:space="preserve">If you are a subject matter expert and want to offer comments on your area of expertise, explain why you are uniquely qualified </w:t>
      </w:r>
      <w:r>
        <w:rPr>
          <w:highlight w:val="white"/>
        </w:rPr>
        <w:t xml:space="preserve">to offer this perspective. Feel free to explain your educational and professional </w:t>
      </w:r>
      <w:proofErr w:type="gramStart"/>
      <w:r>
        <w:rPr>
          <w:highlight w:val="white"/>
        </w:rPr>
        <w:t>background, or</w:t>
      </w:r>
      <w:proofErr w:type="gramEnd"/>
      <w:r>
        <w:rPr>
          <w:highlight w:val="white"/>
        </w:rPr>
        <w:t xml:space="preserve"> attach a copy of your CV to your comments.  </w:t>
      </w:r>
    </w:p>
    <w:p w:rsidR="00F82133" w:rsidRDefault="00B00906">
      <w:pPr>
        <w:contextualSpacing w:val="0"/>
        <w:rPr>
          <w:highlight w:val="white"/>
        </w:rPr>
      </w:pPr>
      <w:r>
        <w:rPr>
          <w:highlight w:val="white"/>
        </w:rPr>
        <w:t xml:space="preserve"> </w:t>
      </w:r>
    </w:p>
    <w:p w:rsidR="00F82133" w:rsidRDefault="00B00906">
      <w:pPr>
        <w:contextualSpacing w:val="0"/>
        <w:rPr>
          <w:i/>
          <w:color w:val="111111"/>
          <w:highlight w:val="white"/>
        </w:rPr>
      </w:pPr>
      <w:r>
        <w:rPr>
          <w:b/>
          <w:highlight w:val="white"/>
        </w:rPr>
        <w:t>Provide translations of non-English comments. ​</w:t>
      </w:r>
      <w:r>
        <w:rPr>
          <w:highlight w:val="white"/>
        </w:rPr>
        <w:t>The NPRM requests that all comments be submitted in English. Whil</w:t>
      </w:r>
      <w:r>
        <w:rPr>
          <w:highlight w:val="white"/>
        </w:rPr>
        <w:t xml:space="preserve">e we do not in any way endorse this restriction, we want to ensure that comments from non-English speaking individuals can be counted. Therefore, we </w:t>
      </w:r>
      <w:r>
        <w:rPr>
          <w:highlight w:val="white"/>
        </w:rPr>
        <w:lastRenderedPageBreak/>
        <w:t>recommend that for non-English comments both the original and a translation should be submitted together, a</w:t>
      </w:r>
      <w:r>
        <w:rPr>
          <w:highlight w:val="white"/>
        </w:rPr>
        <w:t>long with a statement from the translator which verifies the accuracy of the translation. Something like: ​</w:t>
      </w:r>
      <w:r>
        <w:rPr>
          <w:i/>
          <w:color w:val="111111"/>
          <w:highlight w:val="white"/>
        </w:rPr>
        <w:t xml:space="preserve">I, [translator's name], hereby declare that I am fluent in [language] and English and that this translation is a true, accurate and complete version </w:t>
      </w:r>
      <w:r>
        <w:rPr>
          <w:i/>
          <w:color w:val="111111"/>
          <w:highlight w:val="white"/>
        </w:rPr>
        <w:t xml:space="preserve">of the original text to the best of my knowledge. </w:t>
      </w:r>
    </w:p>
    <w:p w:rsidR="00F82133" w:rsidRDefault="00B00906">
      <w:pPr>
        <w:contextualSpacing w:val="0"/>
        <w:rPr>
          <w:i/>
          <w:color w:val="111111"/>
          <w:highlight w:val="white"/>
        </w:rPr>
      </w:pPr>
      <w:r>
        <w:rPr>
          <w:i/>
          <w:color w:val="111111"/>
          <w:highlight w:val="white"/>
        </w:rPr>
        <w:t xml:space="preserve"> </w:t>
      </w:r>
    </w:p>
    <w:p w:rsidR="00F82133" w:rsidRDefault="00B00906">
      <w:pPr>
        <w:contextualSpacing w:val="0"/>
        <w:rPr>
          <w:color w:val="111111"/>
          <w:highlight w:val="white"/>
        </w:rPr>
      </w:pPr>
      <w:r>
        <w:rPr>
          <w:b/>
          <w:color w:val="111111"/>
          <w:highlight w:val="white"/>
        </w:rPr>
        <w:t xml:space="preserve">When possible, avoid completely anonymous comments. </w:t>
      </w:r>
      <w:r>
        <w:rPr>
          <w:color w:val="111111"/>
          <w:highlight w:val="white"/>
        </w:rPr>
        <w:t>​</w:t>
      </w:r>
      <w:r>
        <w:rPr>
          <w:color w:val="111111"/>
          <w:highlight w:val="white"/>
        </w:rPr>
        <w:t>If an individual does not want to disclose their name or contact information, we recommend having a friend or representative submit the comment on the</w:t>
      </w:r>
      <w:r>
        <w:rPr>
          <w:color w:val="111111"/>
          <w:highlight w:val="white"/>
        </w:rPr>
        <w:t xml:space="preserve">ir behalf rather than submitting the comment anonymously. A health worker or attorney could submit comments on behalf of multiple </w:t>
      </w:r>
      <w:proofErr w:type="gramStart"/>
      <w:r>
        <w:rPr>
          <w:color w:val="111111"/>
          <w:highlight w:val="white"/>
        </w:rPr>
        <w:t>clients, and</w:t>
      </w:r>
      <w:proofErr w:type="gramEnd"/>
      <w:r>
        <w:rPr>
          <w:color w:val="111111"/>
          <w:highlight w:val="white"/>
        </w:rPr>
        <w:t xml:space="preserve"> should acknowledge their relationship to that person in the comment to provide context and legitimacy.  </w:t>
      </w:r>
    </w:p>
    <w:p w:rsidR="00F82133" w:rsidRDefault="00B00906">
      <w:pPr>
        <w:contextualSpacing w:val="0"/>
        <w:rPr>
          <w:color w:val="111111"/>
          <w:highlight w:val="white"/>
        </w:rPr>
      </w:pPr>
      <w:r>
        <w:rPr>
          <w:color w:val="111111"/>
          <w:highlight w:val="white"/>
        </w:rPr>
        <w:t xml:space="preserve"> </w:t>
      </w:r>
    </w:p>
    <w:p w:rsidR="00F82133" w:rsidRDefault="00B00906">
      <w:pPr>
        <w:contextualSpacing w:val="0"/>
        <w:rPr>
          <w:rFonts w:ascii="Times New Roman" w:eastAsia="Times New Roman" w:hAnsi="Times New Roman" w:cs="Times New Roman"/>
        </w:rPr>
      </w:pPr>
      <w:r>
        <w:rPr>
          <w:b/>
          <w:color w:val="111111"/>
          <w:highlight w:val="white"/>
        </w:rPr>
        <w:t>When y</w:t>
      </w:r>
      <w:r>
        <w:rPr>
          <w:b/>
          <w:color w:val="111111"/>
          <w:highlight w:val="white"/>
        </w:rPr>
        <w:t>ou submit your comments, please also share them with the Protecting Immigrant Families Campaign.</w:t>
      </w:r>
      <w:r>
        <w:rPr>
          <w:color w:val="111111"/>
          <w:highlight w:val="white"/>
        </w:rPr>
        <w:t xml:space="preserve"> ​ After you hit send on your comments, please take a minute to file them with the PIF Campaign ​</w:t>
      </w:r>
      <w:hyperlink r:id="rId9">
        <w:r>
          <w:rPr>
            <w:color w:val="1155CC"/>
            <w:highlight w:val="white"/>
            <w:u w:val="single"/>
          </w:rPr>
          <w:t>here</w:t>
        </w:r>
      </w:hyperlink>
      <w:r>
        <w:rPr>
          <w:color w:val="1155CC"/>
          <w:highlight w:val="white"/>
        </w:rPr>
        <w:t>​</w:t>
      </w:r>
      <w:r>
        <w:rPr>
          <w:color w:val="111111"/>
          <w:highlight w:val="white"/>
        </w:rPr>
        <w:t>.  There is often a lag time between when comments are submitted to the federal government and when they are available publicly.  The PIF Campaign is developing a plan to review comments submitted by allies and extract the</w:t>
      </w:r>
      <w:r>
        <w:rPr>
          <w:color w:val="111111"/>
          <w:highlight w:val="white"/>
        </w:rPr>
        <w:t xml:space="preserve"> most helpful data, stories, arguments, and other messages that will help with our advocacy work and possibly litigation.  Please file the comments with your organization’s name.  For example, “The National Network to End Domestic </w:t>
      </w:r>
      <w:proofErr w:type="gramStart"/>
      <w:r>
        <w:rPr>
          <w:color w:val="111111"/>
          <w:highlight w:val="white"/>
        </w:rPr>
        <w:t>Violence  Final</w:t>
      </w:r>
      <w:proofErr w:type="gramEnd"/>
      <w:r>
        <w:rPr>
          <w:color w:val="111111"/>
          <w:highlight w:val="white"/>
        </w:rPr>
        <w:t xml:space="preserve"> Comments </w:t>
      </w:r>
      <w:r>
        <w:rPr>
          <w:color w:val="111111"/>
          <w:highlight w:val="white"/>
        </w:rPr>
        <w:t xml:space="preserve">on Public </w:t>
      </w:r>
      <w:r>
        <w:rPr>
          <w:color w:val="111111"/>
        </w:rPr>
        <w:t>Charge NPRM.”  And please suggest that your partners and members do the same.</w:t>
      </w:r>
      <w:r>
        <w:rPr>
          <w:rFonts w:ascii="Times New Roman" w:eastAsia="Times New Roman" w:hAnsi="Times New Roman" w:cs="Times New Roman"/>
        </w:rPr>
        <w:t xml:space="preserve"> </w:t>
      </w:r>
    </w:p>
    <w:p w:rsidR="00F82133" w:rsidRDefault="00F82133">
      <w:pPr>
        <w:contextualSpacing w:val="0"/>
        <w:rPr>
          <w:rFonts w:ascii="Times New Roman" w:eastAsia="Times New Roman" w:hAnsi="Times New Roman" w:cs="Times New Roman"/>
          <w:b/>
        </w:rPr>
      </w:pPr>
    </w:p>
    <w:p w:rsidR="00F82133" w:rsidRDefault="00B00906">
      <w:pPr>
        <w:contextualSpacing w:val="0"/>
        <w:rPr>
          <w:rFonts w:ascii="Times New Roman" w:eastAsia="Times New Roman" w:hAnsi="Times New Roman" w:cs="Times New Roman"/>
          <w:b/>
        </w:rPr>
      </w:pPr>
      <w:r>
        <w:pict>
          <v:rect id="_x0000_i1025" style="width:0;height:1.5pt" o:hralign="center" o:hrstd="t" o:hr="t" fillcolor="#a0a0a0" stroked="f"/>
        </w:pict>
      </w:r>
    </w:p>
    <w:p w:rsidR="00F82133" w:rsidRDefault="00B00906">
      <w:pPr>
        <w:pStyle w:val="Title"/>
        <w:contextualSpacing w:val="0"/>
        <w:jc w:val="center"/>
        <w:rPr>
          <w:sz w:val="24"/>
          <w:szCs w:val="24"/>
        </w:rPr>
      </w:pPr>
      <w:bookmarkStart w:id="3" w:name="_g6qwiqa44px" w:colFirst="0" w:colLast="0"/>
      <w:bookmarkEnd w:id="3"/>
      <w:r>
        <w:rPr>
          <w:sz w:val="24"/>
          <w:szCs w:val="24"/>
        </w:rPr>
        <w:t>Letter Template</w:t>
      </w:r>
    </w:p>
    <w:p w:rsidR="00F82133" w:rsidRDefault="00F82133">
      <w:pPr>
        <w:contextualSpacing w:val="0"/>
      </w:pPr>
    </w:p>
    <w:p w:rsidR="00F82133" w:rsidRDefault="00B00906">
      <w:pPr>
        <w:contextualSpacing w:val="0"/>
      </w:pPr>
      <w:r>
        <w:t>[</w:t>
      </w:r>
      <w:r>
        <w:rPr>
          <w:highlight w:val="yellow"/>
        </w:rPr>
        <w:t>DATE</w:t>
      </w:r>
      <w:r>
        <w:t>]</w:t>
      </w:r>
    </w:p>
    <w:p w:rsidR="00F82133" w:rsidRDefault="00F82133">
      <w:pPr>
        <w:contextualSpacing w:val="0"/>
        <w:rPr>
          <w:i/>
        </w:rPr>
      </w:pPr>
    </w:p>
    <w:p w:rsidR="00F82133" w:rsidRDefault="00B00906">
      <w:pPr>
        <w:contextualSpacing w:val="0"/>
        <w:rPr>
          <w:i/>
        </w:rPr>
      </w:pPr>
      <w:r>
        <w:rPr>
          <w:i/>
        </w:rPr>
        <w:t xml:space="preserve">Submitted via </w:t>
      </w:r>
      <w:hyperlink r:id="rId10">
        <w:r>
          <w:rPr>
            <w:i/>
            <w:color w:val="1155CC"/>
            <w:u w:val="single"/>
          </w:rPr>
          <w:t>www.regulations.gov</w:t>
        </w:r>
      </w:hyperlink>
    </w:p>
    <w:p w:rsidR="00F82133" w:rsidRDefault="00F82133">
      <w:pPr>
        <w:contextualSpacing w:val="0"/>
      </w:pPr>
    </w:p>
    <w:p w:rsidR="00F82133" w:rsidRDefault="00B00906">
      <w:pPr>
        <w:contextualSpacing w:val="0"/>
      </w:pPr>
      <w:r>
        <w:t>U.S. Citizenship and Immigration Services</w:t>
      </w:r>
    </w:p>
    <w:p w:rsidR="00F82133" w:rsidRDefault="00B00906">
      <w:pPr>
        <w:contextualSpacing w:val="0"/>
      </w:pPr>
      <w:r>
        <w:t>Department of Homeland Security</w:t>
      </w:r>
    </w:p>
    <w:p w:rsidR="00F82133" w:rsidRDefault="00B00906">
      <w:pPr>
        <w:contextualSpacing w:val="0"/>
      </w:pPr>
      <w:r>
        <w:t>20 Massachusetts Avenue NW</w:t>
      </w:r>
    </w:p>
    <w:p w:rsidR="00F82133" w:rsidRDefault="00B00906">
      <w:pPr>
        <w:contextualSpacing w:val="0"/>
      </w:pPr>
      <w:r>
        <w:t>Washington, D.C. 20529-2140</w:t>
      </w:r>
    </w:p>
    <w:p w:rsidR="00F82133" w:rsidRDefault="00F82133">
      <w:pPr>
        <w:contextualSpacing w:val="0"/>
      </w:pPr>
    </w:p>
    <w:p w:rsidR="00F82133" w:rsidRDefault="00B00906">
      <w:pPr>
        <w:contextualSpacing w:val="0"/>
      </w:pPr>
      <w:r>
        <w:t>Re: DHS Docket No. USCIS-2010-0012 - Comments in Response to Proposed Rulemaking Inadmissibility on Public Charge Grounds</w:t>
      </w:r>
    </w:p>
    <w:p w:rsidR="00F82133" w:rsidRDefault="00F82133">
      <w:pPr>
        <w:contextualSpacing w:val="0"/>
      </w:pPr>
    </w:p>
    <w:p w:rsidR="00F82133" w:rsidRDefault="00B00906">
      <w:pPr>
        <w:contextualSpacing w:val="0"/>
      </w:pPr>
      <w:r>
        <w:t>Dear Sir/Madam:</w:t>
      </w:r>
    </w:p>
    <w:p w:rsidR="00F82133" w:rsidRDefault="00F82133">
      <w:pPr>
        <w:contextualSpacing w:val="0"/>
        <w:rPr>
          <w:b/>
          <w:u w:val="single"/>
        </w:rPr>
      </w:pPr>
    </w:p>
    <w:p w:rsidR="00F82133" w:rsidRDefault="00B00906">
      <w:pPr>
        <w:contextualSpacing w:val="0"/>
      </w:pPr>
      <w:r>
        <w:t>On behalf of [</w:t>
      </w:r>
      <w:r>
        <w:rPr>
          <w:highlight w:val="yellow"/>
        </w:rPr>
        <w:t>NAME of coalit</w:t>
      </w:r>
      <w:r>
        <w:rPr>
          <w:highlight w:val="yellow"/>
        </w:rPr>
        <w:t>ion/organization/agency</w:t>
      </w:r>
      <w:r>
        <w:t>], we are submitting comments in response to the Department of Homeland Security’s (DHS) Notice of Proposed Rulemaking Inadmissibility on Public Charge Grounds published in the Federal Register on October 10, 2018 to express our stro</w:t>
      </w:r>
      <w:r>
        <w:t>ng opposition to the changes regarding “public charge.” [</w:t>
      </w:r>
      <w:r>
        <w:rPr>
          <w:highlight w:val="yellow"/>
        </w:rPr>
        <w:t>NAME of coalition/organization/agency</w:t>
      </w:r>
      <w:r>
        <w:t xml:space="preserve">] has grave concerns regarding the immense harm that the </w:t>
      </w:r>
      <w:r>
        <w:lastRenderedPageBreak/>
        <w:t>proposed public charge rule will have on immigrant survivors of domestic violence and sexual assault.</w:t>
      </w:r>
    </w:p>
    <w:p w:rsidR="00F82133" w:rsidRDefault="00F82133">
      <w:pPr>
        <w:contextualSpacing w:val="0"/>
      </w:pPr>
    </w:p>
    <w:p w:rsidR="00F82133" w:rsidRDefault="00B00906">
      <w:pPr>
        <w:contextualSpacing w:val="0"/>
        <w:rPr>
          <w:highlight w:val="yellow"/>
        </w:rPr>
      </w:pPr>
      <w:r>
        <w:t>[</w:t>
      </w:r>
      <w:r>
        <w:rPr>
          <w:highlight w:val="yellow"/>
        </w:rPr>
        <w:t xml:space="preserve">INSERT paragraph describing your organization/mission, </w:t>
      </w:r>
      <w:proofErr w:type="spellStart"/>
      <w:r>
        <w:rPr>
          <w:highlight w:val="yellow"/>
        </w:rPr>
        <w:t>ie</w:t>
      </w:r>
      <w:proofErr w:type="spellEnd"/>
      <w:r>
        <w:rPr>
          <w:highlight w:val="yellow"/>
        </w:rPr>
        <w:t>, how many survivors you serve annually, why the proposed rule is particularly urgent to you, plus the expertise that you have on issues raised.</w:t>
      </w:r>
    </w:p>
    <w:p w:rsidR="00F82133" w:rsidRDefault="00B00906">
      <w:pPr>
        <w:numPr>
          <w:ilvl w:val="0"/>
          <w:numId w:val="3"/>
        </w:numPr>
        <w:rPr>
          <w:highlight w:val="yellow"/>
        </w:rPr>
      </w:pPr>
      <w:r>
        <w:rPr>
          <w:highlight w:val="yellow"/>
        </w:rPr>
        <w:t>You can find general data on the effects public charge</w:t>
      </w:r>
      <w:r>
        <w:rPr>
          <w:highlight w:val="yellow"/>
        </w:rPr>
        <w:t xml:space="preserve"> would have on immigrants living in your community here: https://www.manatt.com/Insights/Articles/2018/Public-Charge-Rule-Potentially-Chilled-Population]</w:t>
      </w:r>
    </w:p>
    <w:p w:rsidR="00F82133" w:rsidRDefault="00F82133">
      <w:pPr>
        <w:contextualSpacing w:val="0"/>
        <w:rPr>
          <w:b/>
          <w:u w:val="single"/>
        </w:rPr>
      </w:pPr>
    </w:p>
    <w:p w:rsidR="00F82133" w:rsidRDefault="00B00906">
      <w:pPr>
        <w:contextualSpacing w:val="0"/>
      </w:pPr>
      <w:r>
        <w:rPr>
          <w:b/>
        </w:rPr>
        <w:t>The public charge rule represents an extreme change in current policy and will harm victims of domest</w:t>
      </w:r>
      <w:r>
        <w:rPr>
          <w:b/>
        </w:rPr>
        <w:t xml:space="preserve">ic violence and sexual assault and their ability to obtain and maintain safety </w:t>
      </w:r>
      <w:proofErr w:type="gramStart"/>
      <w:r>
        <w:rPr>
          <w:b/>
        </w:rPr>
        <w:t>as a result of</w:t>
      </w:r>
      <w:proofErr w:type="gramEnd"/>
      <w:r>
        <w:rPr>
          <w:b/>
        </w:rPr>
        <w:t xml:space="preserve"> abuse.</w:t>
      </w:r>
      <w:r>
        <w:t xml:space="preserve"> While some victims seeking certain survivor-specific forms of immigration status, such as protections under the Violence Against Women Act and U visas, are</w:t>
      </w:r>
      <w:r>
        <w:t xml:space="preserve"> exempt from the public charge ground of inadmissibility, the exception will not protect large number of victims from the detrimental effects of the public charge rule. There are many victims of domestic violence and sexual assault, along with their family</w:t>
      </w:r>
      <w:r>
        <w:t xml:space="preserve"> members, who seek status in other immigration categories and who will be harmed </w:t>
      </w:r>
      <w:proofErr w:type="gramStart"/>
      <w:r>
        <w:t>as a consequence</w:t>
      </w:r>
      <w:proofErr w:type="gramEnd"/>
      <w:r>
        <w:t>. Survivors hold all forms of immigration status, from U.S. citizenship to permanent residency to those immigrating through family or employment sponsorship, o</w:t>
      </w:r>
      <w:r>
        <w:t>r as foreign students, temporary workers, or diversity visa applicants.</w:t>
      </w:r>
      <w:r>
        <w:rPr>
          <w:vertAlign w:val="superscript"/>
        </w:rPr>
        <w:footnoteReference w:id="1"/>
      </w:r>
      <w:r>
        <w:t xml:space="preserve"> Even in instances where survivors have secure immigration status and the proposed rule does not directly apply to survivors themselves, their family members who may be seeking admissi</w:t>
      </w:r>
      <w:r>
        <w:t>on or permanent residence, such as those sponsored by survivors, or those living in their households, will be impacted. The public charge rule will therefore have widespread ramifications in deterring survivors from accessing the services and programs they</w:t>
      </w:r>
      <w:r>
        <w:t xml:space="preserve"> need to escape and overcome violence. Immigrant families are already withdrawing from assistance programs that support their basic needs due to fear, even though the proposed rule has not taken effect. Not only will the proposed rule, if implemented, impo</w:t>
      </w:r>
      <w:r>
        <w:t>se significant human suffering costs on victims of domestic violence and sexual assault and their families, but will also impose long-term economic costs on our communities due to increased injury and health consequences of unmitigated trauma.</w:t>
      </w:r>
    </w:p>
    <w:p w:rsidR="00F82133" w:rsidRDefault="00F82133">
      <w:pPr>
        <w:contextualSpacing w:val="0"/>
      </w:pPr>
    </w:p>
    <w:p w:rsidR="00F82133" w:rsidRDefault="00B00906">
      <w:pPr>
        <w:contextualSpacing w:val="0"/>
      </w:pPr>
      <w:r>
        <w:t>The chillin</w:t>
      </w:r>
      <w:r>
        <w:t>g effect we are witnessing is deeply concerning. Domestic and sexual violence is widespread in our communities – with one in three women and one in six men experiencing some form of sexual violence in a lifetime</w:t>
      </w:r>
      <w:r>
        <w:rPr>
          <w:vertAlign w:val="superscript"/>
        </w:rPr>
        <w:footnoteReference w:id="2"/>
      </w:r>
      <w:r>
        <w:t xml:space="preserve"> and more than 12 million men and women </w:t>
      </w:r>
      <w:r>
        <w:lastRenderedPageBreak/>
        <w:t>expe</w:t>
      </w:r>
      <w:r>
        <w:t>riencing rape, physical violence, or stalking by an intimate partner each year in the United States.</w:t>
      </w:r>
      <w:r>
        <w:rPr>
          <w:vertAlign w:val="superscript"/>
        </w:rPr>
        <w:footnoteReference w:id="3"/>
      </w:r>
      <w:r>
        <w:t xml:space="preserve"> </w:t>
      </w:r>
    </w:p>
    <w:p w:rsidR="00F82133" w:rsidRDefault="00B00906">
      <w:pPr>
        <w:contextualSpacing w:val="0"/>
        <w:rPr>
          <w:highlight w:val="yellow"/>
        </w:rPr>
      </w:pPr>
      <w:r>
        <w:t>[</w:t>
      </w:r>
      <w:r>
        <w:rPr>
          <w:highlight w:val="yellow"/>
        </w:rPr>
        <w:t>INSERT state/local statistics and data relevant to your community.]</w:t>
      </w:r>
    </w:p>
    <w:p w:rsidR="00F82133" w:rsidRDefault="00B00906">
      <w:pPr>
        <w:contextualSpacing w:val="0"/>
        <w:rPr>
          <w:highlight w:val="yellow"/>
        </w:rPr>
      </w:pPr>
      <w:r>
        <w:rPr>
          <w:highlight w:val="yellow"/>
        </w:rPr>
        <w:t>Following are several resources where you can find state-specific data:</w:t>
      </w:r>
    </w:p>
    <w:p w:rsidR="00F82133" w:rsidRDefault="00B00906">
      <w:pPr>
        <w:numPr>
          <w:ilvl w:val="0"/>
          <w:numId w:val="2"/>
        </w:numPr>
      </w:pPr>
      <w:hyperlink r:id="rId11">
        <w:r>
          <w:rPr>
            <w:color w:val="1155CC"/>
            <w:highlight w:val="yellow"/>
            <w:u w:val="single"/>
          </w:rPr>
          <w:t>https://nnedv.org/content/domestic-violence-counts-12th-annual-census-report/</w:t>
        </w:r>
      </w:hyperlink>
      <w:r>
        <w:rPr>
          <w:highlight w:val="yellow"/>
        </w:rPr>
        <w:t xml:space="preserve"> </w:t>
      </w:r>
    </w:p>
    <w:p w:rsidR="00F82133" w:rsidRDefault="00B00906">
      <w:pPr>
        <w:numPr>
          <w:ilvl w:val="0"/>
          <w:numId w:val="2"/>
        </w:numPr>
      </w:pPr>
      <w:hyperlink r:id="rId12">
        <w:r>
          <w:rPr>
            <w:color w:val="1155CC"/>
            <w:highlight w:val="yellow"/>
            <w:u w:val="single"/>
          </w:rPr>
          <w:t>https://ncadv.org/state-by-sta</w:t>
        </w:r>
        <w:r>
          <w:rPr>
            <w:color w:val="1155CC"/>
            <w:highlight w:val="yellow"/>
            <w:u w:val="single"/>
          </w:rPr>
          <w:t>te</w:t>
        </w:r>
      </w:hyperlink>
      <w:r>
        <w:rPr>
          <w:highlight w:val="yellow"/>
        </w:rPr>
        <w:t>;</w:t>
      </w:r>
    </w:p>
    <w:p w:rsidR="00F82133" w:rsidRDefault="00B00906">
      <w:pPr>
        <w:numPr>
          <w:ilvl w:val="0"/>
          <w:numId w:val="2"/>
        </w:numPr>
      </w:pPr>
      <w:hyperlink r:id="rId13">
        <w:r>
          <w:rPr>
            <w:color w:val="1155CC"/>
            <w:highlight w:val="yellow"/>
            <w:u w:val="single"/>
          </w:rPr>
          <w:t>https://www.cdc.gov/violenceprevention/pdf/NISVS_Report2010-a.pdf</w:t>
        </w:r>
      </w:hyperlink>
      <w:r>
        <w:rPr>
          <w:highlight w:val="yellow"/>
        </w:rPr>
        <w:t xml:space="preserve"> (beginning on page 65)</w:t>
      </w:r>
      <w:r>
        <w:t>].</w:t>
      </w:r>
    </w:p>
    <w:p w:rsidR="00F82133" w:rsidRDefault="00B00906">
      <w:pPr>
        <w:numPr>
          <w:ilvl w:val="0"/>
          <w:numId w:val="2"/>
        </w:numPr>
        <w:rPr>
          <w:highlight w:val="yellow"/>
        </w:rPr>
      </w:pPr>
      <w:hyperlink r:id="rId14">
        <w:r>
          <w:rPr>
            <w:color w:val="1155CC"/>
            <w:highlight w:val="yellow"/>
            <w:u w:val="single"/>
          </w:rPr>
          <w:t>https://crime-d</w:t>
        </w:r>
        <w:r>
          <w:rPr>
            <w:color w:val="1155CC"/>
            <w:highlight w:val="yellow"/>
            <w:u w:val="single"/>
          </w:rPr>
          <w:t>ata-explorer.fr.cloud.gov/</w:t>
        </w:r>
      </w:hyperlink>
    </w:p>
    <w:p w:rsidR="00F82133" w:rsidRDefault="00B00906">
      <w:pPr>
        <w:numPr>
          <w:ilvl w:val="1"/>
          <w:numId w:val="2"/>
        </w:numPr>
        <w:rPr>
          <w:highlight w:val="yellow"/>
        </w:rPr>
      </w:pPr>
      <w:r>
        <w:rPr>
          <w:highlight w:val="yellow"/>
        </w:rPr>
        <w:t>Look at map and select state (check that incident data is available for your state)</w:t>
      </w:r>
    </w:p>
    <w:p w:rsidR="00F82133" w:rsidRDefault="00B00906">
      <w:pPr>
        <w:numPr>
          <w:ilvl w:val="1"/>
          <w:numId w:val="2"/>
        </w:numPr>
        <w:rPr>
          <w:highlight w:val="yellow"/>
        </w:rPr>
      </w:pPr>
      <w:r>
        <w:rPr>
          <w:highlight w:val="yellow"/>
        </w:rPr>
        <w:t>Click on “go” next to the dropdown menu that already has “crime” selected</w:t>
      </w:r>
    </w:p>
    <w:p w:rsidR="00F82133" w:rsidRDefault="00B00906">
      <w:pPr>
        <w:numPr>
          <w:ilvl w:val="1"/>
          <w:numId w:val="2"/>
        </w:numPr>
        <w:rPr>
          <w:highlight w:val="yellow"/>
        </w:rPr>
      </w:pPr>
      <w:r>
        <w:rPr>
          <w:highlight w:val="yellow"/>
        </w:rPr>
        <w:t>Under “Incident-based (NIBRS) details reported” click on the dropdown m</w:t>
      </w:r>
      <w:r>
        <w:rPr>
          <w:highlight w:val="yellow"/>
        </w:rPr>
        <w:t>enu to select “rape”</w:t>
      </w:r>
    </w:p>
    <w:p w:rsidR="00F82133" w:rsidRDefault="00F82133">
      <w:pPr>
        <w:ind w:left="1440"/>
        <w:contextualSpacing w:val="0"/>
        <w:rPr>
          <w:highlight w:val="yellow"/>
        </w:rPr>
      </w:pPr>
    </w:p>
    <w:p w:rsidR="00F82133" w:rsidRDefault="00B00906">
      <w:pPr>
        <w:contextualSpacing w:val="0"/>
      </w:pPr>
      <w:r>
        <w:t xml:space="preserve">Due to the prevalence of domestic violence and sexual assault, our communities have provided for many important protections and programs to ensure all victims’ ability to access safety and justice and promote healthy communities. The </w:t>
      </w:r>
      <w:r>
        <w:t>public charge rule should be interpreted to contribute to the goals of these vital federal and state protections and services that support victim safety and recovery from trauma, healthy families, and violence prevention.</w:t>
      </w:r>
    </w:p>
    <w:p w:rsidR="00F82133" w:rsidRDefault="00F82133">
      <w:pPr>
        <w:contextualSpacing w:val="0"/>
      </w:pPr>
    </w:p>
    <w:p w:rsidR="00F82133" w:rsidRDefault="00B00906">
      <w:pPr>
        <w:contextualSpacing w:val="0"/>
      </w:pPr>
      <w:r>
        <w:t>The proposed public charge rule u</w:t>
      </w:r>
      <w:r>
        <w:t>ndermines the gains our communities have made to advance public safety and jeopardizes domestic violence and sexual assault survivors in the following ways:</w:t>
      </w:r>
    </w:p>
    <w:p w:rsidR="00F82133" w:rsidRDefault="00F82133">
      <w:pPr>
        <w:contextualSpacing w:val="0"/>
        <w:rPr>
          <w:color w:val="FF0000"/>
        </w:rPr>
      </w:pPr>
    </w:p>
    <w:p w:rsidR="00F82133" w:rsidRDefault="00B00906">
      <w:pPr>
        <w:numPr>
          <w:ilvl w:val="0"/>
          <w:numId w:val="5"/>
        </w:numPr>
      </w:pPr>
      <w:r>
        <w:t>Discourages survivors from seeking or utilizing safety net benefits that are crucial to survivors’</w:t>
      </w:r>
      <w:r>
        <w:t xml:space="preserve"> ability to escape or recover from abuse and trauma.</w:t>
      </w:r>
    </w:p>
    <w:p w:rsidR="00F82133" w:rsidRDefault="00B00906">
      <w:pPr>
        <w:numPr>
          <w:ilvl w:val="0"/>
          <w:numId w:val="5"/>
        </w:numPr>
      </w:pPr>
      <w:r>
        <w:t>Punishes survivors of domestic violence and sexual assault for the violence they’ve experienced.</w:t>
      </w:r>
    </w:p>
    <w:p w:rsidR="00F82133" w:rsidRDefault="00B00906">
      <w:pPr>
        <w:numPr>
          <w:ilvl w:val="0"/>
          <w:numId w:val="5"/>
        </w:numPr>
      </w:pPr>
      <w:r>
        <w:t>Isolates survivors from their families, which are often essential sources of support when escaping and rec</w:t>
      </w:r>
      <w:r>
        <w:t>overing from abuse.</w:t>
      </w:r>
    </w:p>
    <w:p w:rsidR="00F82133" w:rsidRDefault="00F82133">
      <w:pPr>
        <w:contextualSpacing w:val="0"/>
      </w:pPr>
    </w:p>
    <w:p w:rsidR="00F82133" w:rsidRDefault="00B00906">
      <w:pPr>
        <w:pStyle w:val="Heading1"/>
        <w:spacing w:before="0" w:after="0"/>
        <w:contextualSpacing w:val="0"/>
        <w:rPr>
          <w:b/>
          <w:sz w:val="22"/>
          <w:szCs w:val="22"/>
        </w:rPr>
      </w:pPr>
      <w:bookmarkStart w:id="4" w:name="_goshpjsx1mc3" w:colFirst="0" w:colLast="0"/>
      <w:bookmarkEnd w:id="4"/>
      <w:r>
        <w:rPr>
          <w:b/>
          <w:sz w:val="22"/>
          <w:szCs w:val="22"/>
        </w:rPr>
        <w:t>1.  The public charge rule will discourage survivors from seeking or utilizing safety net benefits that are crucial to survivors’ ability to escape or recover from abuse and trauma.</w:t>
      </w:r>
    </w:p>
    <w:p w:rsidR="00F82133" w:rsidRDefault="00B00906">
      <w:pPr>
        <w:contextualSpacing w:val="0"/>
      </w:pPr>
      <w:r>
        <w:t>The proposed rule greatly expands the range of public assistance programs that will now count against an individual in deciding whether someone is likely to become a public charge, including crucial programs that victims need to escape abuse and meet basic</w:t>
      </w:r>
      <w:r>
        <w:t xml:space="preserve"> needs. While domestic violence and sexual assault occur across economic groups, there are unique challenges and barriers at the intersection of domestic and sexual violence and financial hardship: abuse can result in victims falling into poverty. Financia</w:t>
      </w:r>
      <w:r>
        <w:t xml:space="preserve">l barriers can prevent victims from leaving abusive relationships. The Centers for Disease Control has concluded that improving financial security </w:t>
      </w:r>
      <w:r>
        <w:lastRenderedPageBreak/>
        <w:t>for individuals and families can help reduce and prevent intimate partner violence.</w:t>
      </w:r>
      <w:r>
        <w:rPr>
          <w:vertAlign w:val="superscript"/>
        </w:rPr>
        <w:footnoteReference w:id="4"/>
      </w:r>
      <w:r>
        <w:t xml:space="preserve">  Access to economic secu</w:t>
      </w:r>
      <w:r>
        <w:t>rity programs and other safety net benefits therefore play a pivotal role in a victim’s ability to escape and overcome domestic violence and sexual assault, helping victims afford the basics (such as food, housing, and healthcare) and rebuild their lives a</w:t>
      </w:r>
      <w:r>
        <w:t>fter violence.</w:t>
      </w:r>
    </w:p>
    <w:p w:rsidR="00F82133" w:rsidRDefault="00F82133">
      <w:pPr>
        <w:contextualSpacing w:val="0"/>
      </w:pPr>
    </w:p>
    <w:p w:rsidR="00F82133" w:rsidRDefault="00B00906">
      <w:pPr>
        <w:contextualSpacing w:val="0"/>
        <w:rPr>
          <w:u w:val="single"/>
        </w:rPr>
      </w:pPr>
      <w:r>
        <w:rPr>
          <w:u w:val="single"/>
        </w:rPr>
        <w:t>Housing</w:t>
      </w:r>
    </w:p>
    <w:p w:rsidR="00F82133" w:rsidRDefault="00B00906">
      <w:pPr>
        <w:contextualSpacing w:val="0"/>
      </w:pPr>
      <w:r>
        <w:t xml:space="preserve">Housing assistance is a vital resource for survivors, giving them </w:t>
      </w:r>
      <w:proofErr w:type="gramStart"/>
      <w:r>
        <w:t>the security</w:t>
      </w:r>
      <w:proofErr w:type="gramEnd"/>
      <w:r>
        <w:t xml:space="preserve"> they need to leave abuse without having to fear that doing so will result in homelessness, as well as providing a safe environment to begin their recover</w:t>
      </w:r>
      <w:r>
        <w:t>y. One of the greatest needs identified by survivors is affordable housing. In a single day, domestic violence programs across the United States received but were unable to meet nearly 7,500 requests for housing services.</w:t>
      </w:r>
      <w:r>
        <w:rPr>
          <w:vertAlign w:val="superscript"/>
        </w:rPr>
        <w:footnoteReference w:id="5"/>
      </w:r>
      <w:r>
        <w:t xml:space="preserve"> The inability to find and maintai</w:t>
      </w:r>
      <w:r>
        <w:t>n affordable housing puts survivors at extreme risk of homelessness. Between 22 and 57% of all homeless women report that domestic violence was the immediate cause of their homelessness,</w:t>
      </w:r>
      <w:r>
        <w:rPr>
          <w:vertAlign w:val="superscript"/>
        </w:rPr>
        <w:footnoteReference w:id="6"/>
      </w:r>
      <w:r>
        <w:t xml:space="preserve"> and victim service providers, advocates, and allies across the Unite</w:t>
      </w:r>
      <w:r>
        <w:t>d States report that survivors became homeless as a result of sexual violence.</w:t>
      </w:r>
      <w:r>
        <w:rPr>
          <w:vertAlign w:val="superscript"/>
        </w:rPr>
        <w:footnoteReference w:id="7"/>
      </w:r>
      <w:r>
        <w:t xml:space="preserve"> Sexual assault survivors may be forced to leave their housing and/or employment as a result of the violence, and become even more at risk for sexual violence as a result.</w:t>
      </w:r>
      <w:r>
        <w:rPr>
          <w:vertAlign w:val="superscript"/>
        </w:rPr>
        <w:footnoteReference w:id="8"/>
      </w:r>
      <w:r>
        <w:t xml:space="preserve"> With</w:t>
      </w:r>
      <w:r>
        <w:t>out housing, sexual assault victims report that other services to address the violence were not likely to be helpful.</w:t>
      </w:r>
      <w:r>
        <w:rPr>
          <w:vertAlign w:val="superscript"/>
        </w:rPr>
        <w:footnoteReference w:id="9"/>
      </w:r>
      <w:r>
        <w:t xml:space="preserve"> For many survivors, the decision to leave abuse hinges on the question, “But where would I go?” Housing assistance provides the answer th</w:t>
      </w:r>
      <w:r>
        <w:t xml:space="preserve">at survivors </w:t>
      </w:r>
      <w:proofErr w:type="gramStart"/>
      <w:r>
        <w:t>need, and</w:t>
      </w:r>
      <w:proofErr w:type="gramEnd"/>
      <w:r>
        <w:t xml:space="preserve"> creates a pathway to safety.</w:t>
      </w:r>
    </w:p>
    <w:p w:rsidR="00F82133" w:rsidRDefault="00F82133">
      <w:pPr>
        <w:contextualSpacing w:val="0"/>
      </w:pPr>
    </w:p>
    <w:p w:rsidR="00F82133" w:rsidRDefault="00B00906">
      <w:pPr>
        <w:contextualSpacing w:val="0"/>
        <w:rPr>
          <w:u w:val="single"/>
        </w:rPr>
      </w:pPr>
      <w:r>
        <w:rPr>
          <w:u w:val="single"/>
        </w:rPr>
        <w:t>Supplemental Nutrition Assistance Program (SNAP)</w:t>
      </w:r>
    </w:p>
    <w:p w:rsidR="00F82133" w:rsidRDefault="00B00906">
      <w:pPr>
        <w:contextualSpacing w:val="0"/>
      </w:pPr>
      <w:r>
        <w:t>SNAP helps survivors overcome an immense barrier to escaping and recovering from abuse: food insecurity. Being able to meet basic food and nutritional nee</w:t>
      </w:r>
      <w:r>
        <w:t xml:space="preserve">ds provides a means for survivors to take care of themselves and their children while working to address their trauma </w:t>
      </w:r>
      <w:r>
        <w:lastRenderedPageBreak/>
        <w:t>and take steps toward independence. Service providers report that SNAP is an invaluable program for survivor empowerment and post-trauma h</w:t>
      </w:r>
      <w:r>
        <w:t>ealing with 80% of most domestic violence victims and 55% of most sexual assault victims using the program to restore safety and stability in their lives.</w:t>
      </w:r>
      <w:r>
        <w:rPr>
          <w:vertAlign w:val="superscript"/>
        </w:rPr>
        <w:footnoteReference w:id="10"/>
      </w:r>
      <w:r>
        <w:t xml:space="preserve"> Limiting access to SNAP may translate to many domestic and sexual violence survivors and their famil</w:t>
      </w:r>
      <w:r>
        <w:t>ies going hungry, leading survivors to feel that they have no choice but to return to their abusers.</w:t>
      </w:r>
    </w:p>
    <w:p w:rsidR="00F82133" w:rsidRDefault="00F82133">
      <w:pPr>
        <w:contextualSpacing w:val="0"/>
      </w:pPr>
    </w:p>
    <w:p w:rsidR="00F82133" w:rsidRDefault="00B00906">
      <w:pPr>
        <w:contextualSpacing w:val="0"/>
        <w:rPr>
          <w:u w:val="single"/>
        </w:rPr>
      </w:pPr>
      <w:r>
        <w:rPr>
          <w:u w:val="single"/>
        </w:rPr>
        <w:t>Healthcare Assistance</w:t>
      </w:r>
    </w:p>
    <w:p w:rsidR="00F82133" w:rsidRDefault="00B00906">
      <w:pPr>
        <w:contextualSpacing w:val="0"/>
        <w:rPr>
          <w:sz w:val="16"/>
          <w:szCs w:val="16"/>
        </w:rPr>
      </w:pPr>
      <w:r>
        <w:t xml:space="preserve">Access to health care provides a critical lifeline for survivors </w:t>
      </w:r>
      <w:proofErr w:type="gramStart"/>
      <w:r>
        <w:t>in order to</w:t>
      </w:r>
      <w:proofErr w:type="gramEnd"/>
      <w:r>
        <w:t xml:space="preserve"> treat the significant health consequences of abuse including: acute injury, chronic pain, sexually transmitted infections, gastrointestinal problems, diabetes, hypertension, and t</w:t>
      </w:r>
      <w:r>
        <w:t>raumatic brain injury, among others. Data from the Behavioral Risk Factor Surveillance Survey (BRFSS), which is conducted annually and is the largest U.S. nationally representative phone survey about general health behaviors and conditions, highlight the i</w:t>
      </w:r>
      <w:r>
        <w:t>ncreased risk of chronic conditions such as asthma, arthritis, stroke, and cardiovascular disease in individuals who have ever experienced partner violence.</w:t>
      </w:r>
      <w:r>
        <w:rPr>
          <w:vertAlign w:val="superscript"/>
        </w:rPr>
        <w:footnoteReference w:id="11"/>
      </w:r>
      <w:r>
        <w:t xml:space="preserve"> A study by the Centers for Disease Control and Prevention (CDC) found that more than 550,000 injur</w:t>
      </w:r>
      <w:r>
        <w:t>ies due to IPV require medical attention each year.</w:t>
      </w:r>
      <w:r>
        <w:rPr>
          <w:vertAlign w:val="superscript"/>
        </w:rPr>
        <w:footnoteReference w:id="12"/>
      </w:r>
      <w:r>
        <w:t xml:space="preserve"> Service providers report that Medicaid is valuable to the recovery of survivors as it is a benefit many survivors cannot afford, with 76% of providers reporting that healthcare assistance consistently he</w:t>
      </w:r>
      <w:r>
        <w:t>lps the survivors with whom they work. New CDC data found the lifetime per-victim cost of intimate partner violence was $103,767 for women victims with 59% going to medical costs.</w:t>
      </w:r>
      <w:r>
        <w:rPr>
          <w:vertAlign w:val="superscript"/>
        </w:rPr>
        <w:footnoteReference w:id="13"/>
      </w:r>
      <w:r>
        <w:t xml:space="preserve"> Public funding paid 37% of this total cost. It is clear that Medicaid cover</w:t>
      </w:r>
      <w:r>
        <w:t>age helps survivors access care: when looking at trauma care alone, Kaiser Family Foundation found that Medicaid increased coverage of individuals with traumatic injuries for acute and post-acute care and protects against unexpected medical bills.</w:t>
      </w:r>
      <w:r>
        <w:rPr>
          <w:vertAlign w:val="superscript"/>
        </w:rPr>
        <w:footnoteReference w:id="14"/>
      </w:r>
      <w:r>
        <w:t xml:space="preserve"> Survivo</w:t>
      </w:r>
      <w:r>
        <w:t>rs are also more likely than others to need health, mental and behavioral health services because of increased risk for suicide, depression, anxiety, posttraumatic stress disorder, and substance abuse. Ensuring they can get the care they need, when they ne</w:t>
      </w:r>
      <w:r>
        <w:t xml:space="preserve">ed it, can improve their health and well-being for the rest of their lives.   </w:t>
      </w:r>
    </w:p>
    <w:p w:rsidR="00F82133" w:rsidRDefault="00F82133">
      <w:pPr>
        <w:contextualSpacing w:val="0"/>
      </w:pPr>
    </w:p>
    <w:p w:rsidR="00F82133" w:rsidRDefault="00B00906">
      <w:pPr>
        <w:contextualSpacing w:val="0"/>
      </w:pPr>
      <w:r>
        <w:t xml:space="preserve">Additionally, of </w:t>
      </w:r>
      <w:proofErr w:type="gramStart"/>
      <w:r>
        <w:t>particular interest</w:t>
      </w:r>
      <w:proofErr w:type="gramEnd"/>
      <w:r>
        <w:t xml:space="preserve"> to survivors, coverage of screening and brief counseling for DV/IPV is a covered women’s preventive health benefit. Maintaining this covera</w:t>
      </w:r>
      <w:r>
        <w:t xml:space="preserve">ge is extremely important because in addition to treating the health consequences of abuse, the health care setting may be the first place that survivors are asked about abuse and connected with </w:t>
      </w:r>
      <w:r>
        <w:lastRenderedPageBreak/>
        <w:t>community-based domestic violence services. The proposed rule</w:t>
      </w:r>
      <w:r>
        <w:t xml:space="preserve"> exacerbates the harmful health impacts of domestic violence and sexual assault. Survivors of domestic violence will likely forego critical health services they need to remain healthy and safe. Rather than seek help from a health care professional or get t</w:t>
      </w:r>
      <w:r>
        <w:t>reatment for related health issues, survivors may instead stay in an abusive situation.</w:t>
      </w:r>
    </w:p>
    <w:p w:rsidR="00F82133" w:rsidRDefault="00F82133">
      <w:pPr>
        <w:contextualSpacing w:val="0"/>
      </w:pPr>
    </w:p>
    <w:p w:rsidR="00F82133" w:rsidRDefault="00B00906">
      <w:pPr>
        <w:contextualSpacing w:val="0"/>
      </w:pPr>
      <w:r>
        <w:t>We strongly urge that receipt of Medicaid be excluded from the final rule.</w:t>
      </w:r>
    </w:p>
    <w:p w:rsidR="00F82133" w:rsidRDefault="00F82133">
      <w:pPr>
        <w:contextualSpacing w:val="0"/>
      </w:pPr>
    </w:p>
    <w:p w:rsidR="00F82133" w:rsidRDefault="00B00906">
      <w:pPr>
        <w:contextualSpacing w:val="0"/>
        <w:rPr>
          <w:u w:val="single"/>
        </w:rPr>
      </w:pPr>
      <w:r>
        <w:rPr>
          <w:u w:val="single"/>
        </w:rPr>
        <w:t>Children’s Health Insurance Program (CHIP)</w:t>
      </w:r>
    </w:p>
    <w:p w:rsidR="00F82133" w:rsidRDefault="00F82133">
      <w:pPr>
        <w:contextualSpacing w:val="0"/>
      </w:pPr>
    </w:p>
    <w:p w:rsidR="00F82133" w:rsidRDefault="00B00906">
      <w:pPr>
        <w:contextualSpacing w:val="0"/>
      </w:pPr>
      <w:r>
        <w:t>For the same reasons, we recommend that DHS con</w:t>
      </w:r>
      <w:r>
        <w:t xml:space="preserve">tinue to exclude CHIP from consideration in a public charge determination in the final rule. </w:t>
      </w:r>
    </w:p>
    <w:p w:rsidR="00F82133" w:rsidRDefault="00F82133">
      <w:pPr>
        <w:spacing w:line="240" w:lineRule="auto"/>
        <w:contextualSpacing w:val="0"/>
      </w:pPr>
    </w:p>
    <w:p w:rsidR="00F82133" w:rsidRDefault="00B00906">
      <w:pPr>
        <w:spacing w:line="240" w:lineRule="auto"/>
        <w:contextualSpacing w:val="0"/>
      </w:pPr>
      <w:r>
        <w:t>CHIP is a health insurance program for children in working families who earn too much to be eligible for Medicaid but not enough to buy private insurance. In som</w:t>
      </w:r>
      <w:r>
        <w:t>e states, CHIP covers pregnant women. All states offer CHIP, and CHIP/Medicaid work closely together.</w:t>
      </w:r>
    </w:p>
    <w:p w:rsidR="00F82133" w:rsidRDefault="00F82133">
      <w:pPr>
        <w:spacing w:line="240" w:lineRule="auto"/>
        <w:contextualSpacing w:val="0"/>
      </w:pPr>
    </w:p>
    <w:p w:rsidR="00F82133" w:rsidRDefault="00B00906">
      <w:pPr>
        <w:spacing w:line="240" w:lineRule="auto"/>
        <w:contextualSpacing w:val="0"/>
      </w:pPr>
      <w:r>
        <w:t>Children covered by CHIP and Medicaid have improved health outcomes, including reductions in avoidable hospitalizations and child deaths. For children wh</w:t>
      </w:r>
      <w:r>
        <w:t>o’ve experienced abuse or who are in homes where domestic violence is present, access to CHIP may be a critical link for overcoming trauma and recovering from abuse. CHIP improves health, which translates into educational gains, with potentially positive i</w:t>
      </w:r>
      <w:r>
        <w:t>mplications for both individual economic well-being and overall economic productivity.</w:t>
      </w:r>
    </w:p>
    <w:p w:rsidR="00F82133" w:rsidRDefault="00B00906">
      <w:pPr>
        <w:spacing w:line="240" w:lineRule="auto"/>
        <w:contextualSpacing w:val="0"/>
      </w:pPr>
      <w:r>
        <w:t xml:space="preserve"> </w:t>
      </w:r>
    </w:p>
    <w:p w:rsidR="00F82133" w:rsidRDefault="00B00906">
      <w:pPr>
        <w:spacing w:line="240" w:lineRule="auto"/>
        <w:contextualSpacing w:val="0"/>
      </w:pPr>
      <w:r>
        <w:t xml:space="preserve">Today, more than eight million </w:t>
      </w:r>
      <w:r>
        <w:rPr>
          <w:i/>
        </w:rPr>
        <w:t>citizen</w:t>
      </w:r>
      <w:r>
        <w:t xml:space="preserve"> children with an immigrant parent have Medicaid/CHIP coverage. If the final rule includes CHIP it will likely result in more sur</w:t>
      </w:r>
      <w:r>
        <w:t xml:space="preserve">vivors foregoing critical health supports for themselves and their children to recover from abuse. </w:t>
      </w:r>
    </w:p>
    <w:p w:rsidR="00F82133" w:rsidRDefault="00F82133">
      <w:pPr>
        <w:contextualSpacing w:val="0"/>
        <w:rPr>
          <w:highlight w:val="yellow"/>
        </w:rPr>
      </w:pPr>
    </w:p>
    <w:p w:rsidR="00F82133" w:rsidRDefault="00B00906">
      <w:pPr>
        <w:contextualSpacing w:val="0"/>
        <w:rPr>
          <w:u w:val="single"/>
        </w:rPr>
      </w:pPr>
      <w:r>
        <w:rPr>
          <w:u w:val="single"/>
        </w:rPr>
        <w:t>Cash assistance</w:t>
      </w:r>
    </w:p>
    <w:p w:rsidR="00F82133" w:rsidRDefault="00B00906">
      <w:pPr>
        <w:contextualSpacing w:val="0"/>
        <w:rPr>
          <w:u w:val="single"/>
        </w:rPr>
      </w:pPr>
      <w:r>
        <w:t xml:space="preserve">For many survivors, cash assistance, such as Temporary Assistance for Needy Families or state-funded cash benefits, provides the crucial support they need to begin the journey of </w:t>
      </w:r>
      <w:proofErr w:type="spellStart"/>
      <w:r>
        <w:t>restabilizing</w:t>
      </w:r>
      <w:proofErr w:type="spellEnd"/>
      <w:r>
        <w:t xml:space="preserve"> their lives and achieving self-sufficiency. In a 2017 survey of</w:t>
      </w:r>
      <w:r>
        <w:t xml:space="preserve"> service providers working with victims of violence, nearly 85% of respondents said that TANF is a very critical resource for a significant number of domestic violence and sexual assault victims. Specifically, more than two-thirds of respondents said that </w:t>
      </w:r>
      <w:r>
        <w:t>most domestic violence victims rely on TANF to help address their basic needs and to establish safety and stability, and 45% of respondents said the same is true of most sexual assault victims.</w:t>
      </w:r>
      <w:r>
        <w:rPr>
          <w:vertAlign w:val="superscript"/>
        </w:rPr>
        <w:footnoteReference w:id="15"/>
      </w:r>
      <w:r>
        <w:t xml:space="preserve"> With financial instability posing limited options for escapin</w:t>
      </w:r>
      <w:r>
        <w:t>g or recovering from abuse, access to cash assistance is an important factor in victims’ decision-making about whether and how they can afford to leave a dangerous situation, and in planning how to keep themselves and their children healthy, well, and hous</w:t>
      </w:r>
      <w:r>
        <w:t>ed.</w:t>
      </w:r>
      <w:r>
        <w:rPr>
          <w:vertAlign w:val="superscript"/>
        </w:rPr>
        <w:footnoteReference w:id="16"/>
      </w:r>
    </w:p>
    <w:p w:rsidR="00F82133" w:rsidRDefault="00F82133">
      <w:pPr>
        <w:contextualSpacing w:val="0"/>
        <w:rPr>
          <w:u w:val="single"/>
        </w:rPr>
      </w:pPr>
    </w:p>
    <w:p w:rsidR="00F82133" w:rsidRDefault="00B00906">
      <w:pPr>
        <w:contextualSpacing w:val="0"/>
        <w:rPr>
          <w:u w:val="single"/>
        </w:rPr>
      </w:pPr>
      <w:r>
        <w:rPr>
          <w:u w:val="single"/>
        </w:rPr>
        <w:t>Hindering Access to Economic Supports Undermines Survivor Safety</w:t>
      </w:r>
    </w:p>
    <w:p w:rsidR="00F82133" w:rsidRDefault="00B00906">
      <w:pPr>
        <w:contextualSpacing w:val="0"/>
        <w:rPr>
          <w:highlight w:val="yellow"/>
        </w:rPr>
      </w:pPr>
      <w:r>
        <w:t>As this data illustrates, economic resources play a critical role in supporting women’s safety.</w:t>
      </w:r>
      <w:r>
        <w:rPr>
          <w:vertAlign w:val="superscript"/>
        </w:rPr>
        <w:footnoteReference w:id="17"/>
      </w:r>
      <w:r>
        <w:t xml:space="preserve"> Not only does the public charge rule undermine federal and state policies to support vic</w:t>
      </w:r>
      <w:r>
        <w:t xml:space="preserve">tims by discouraging them from accessing critical services, the proposed rule exacerbates the harmful impacts of the abuse, possibly by keeping them trapped in abusive situations. Without </w:t>
      </w:r>
      <w:proofErr w:type="gramStart"/>
      <w:r>
        <w:t>sufficient</w:t>
      </w:r>
      <w:proofErr w:type="gramEnd"/>
      <w:r>
        <w:t xml:space="preserve"> resources, victims are either compelled back into an abus</w:t>
      </w:r>
      <w:r>
        <w:t>ive relationship, or face destitution and homelessness.</w:t>
      </w:r>
      <w:r>
        <w:rPr>
          <w:vertAlign w:val="superscript"/>
        </w:rPr>
        <w:footnoteReference w:id="18"/>
      </w:r>
      <w:r>
        <w:t xml:space="preserve"> </w:t>
      </w:r>
    </w:p>
    <w:p w:rsidR="00F82133" w:rsidRDefault="00F82133">
      <w:pPr>
        <w:contextualSpacing w:val="0"/>
        <w:rPr>
          <w:highlight w:val="yellow"/>
        </w:rPr>
      </w:pPr>
    </w:p>
    <w:p w:rsidR="00F82133" w:rsidRDefault="00B00906">
      <w:pPr>
        <w:pStyle w:val="Heading1"/>
        <w:spacing w:before="0" w:after="0"/>
        <w:contextualSpacing w:val="0"/>
        <w:rPr>
          <w:b/>
          <w:sz w:val="22"/>
          <w:szCs w:val="22"/>
        </w:rPr>
      </w:pPr>
      <w:bookmarkStart w:id="5" w:name="_qolbszv4ka2" w:colFirst="0" w:colLast="0"/>
      <w:bookmarkEnd w:id="5"/>
      <w:r>
        <w:rPr>
          <w:b/>
          <w:sz w:val="22"/>
          <w:szCs w:val="22"/>
        </w:rPr>
        <w:t xml:space="preserve">2. The public charge rule punishes survivors of domestic violence and sexual assault for the violence they’ve experienced. </w:t>
      </w:r>
    </w:p>
    <w:p w:rsidR="00F82133" w:rsidRDefault="00B00906">
      <w:pPr>
        <w:contextualSpacing w:val="0"/>
      </w:pPr>
      <w:r>
        <w:t>Domestic violence abusers and sexual assault perpetrators cause significa</w:t>
      </w:r>
      <w:r>
        <w:t>nt physical, emotional, and often, financial injury to their victims, which increases the likelihood of the public charge ground of inadmissibility being applied.  Many abusive partners, in order to dominate or control their partners and their children, wi</w:t>
      </w:r>
      <w:r>
        <w:t>ll try to prevent or sabotage their partners from attaining economic independence or stability by limiting their access to financial resources, interfering with employment, ruining credit, and more.</w:t>
      </w:r>
      <w:r>
        <w:rPr>
          <w:vertAlign w:val="superscript"/>
        </w:rPr>
        <w:footnoteReference w:id="19"/>
      </w:r>
      <w:r>
        <w:t xml:space="preserve"> Victims who might not have previously been considered lo</w:t>
      </w:r>
      <w:r>
        <w:t>w income may experience financial abuse; become impoverished due to the abuse; or abuse may have undermined the victim’s ability to work, maintain housing, health, or otherwise obtain financial security.</w:t>
      </w:r>
      <w:r>
        <w:rPr>
          <w:vertAlign w:val="superscript"/>
        </w:rPr>
        <w:footnoteReference w:id="20"/>
      </w:r>
      <w:r>
        <w:t xml:space="preserve"> </w:t>
      </w:r>
    </w:p>
    <w:p w:rsidR="00F82133" w:rsidRDefault="00F82133">
      <w:pPr>
        <w:contextualSpacing w:val="0"/>
      </w:pPr>
    </w:p>
    <w:p w:rsidR="00F82133" w:rsidRDefault="00B00906">
      <w:pPr>
        <w:contextualSpacing w:val="0"/>
      </w:pPr>
      <w:r>
        <w:t>The heavily-weighted negative factors described i</w:t>
      </w:r>
      <w:r>
        <w:t>n the proposed rule will disproportionately harm survivors of domestic violence and sexual assault. The proposed rules identify specific circumstances that would weigh “heavily” in a public charge determination.</w:t>
      </w:r>
    </w:p>
    <w:p w:rsidR="00F82133" w:rsidRDefault="00F82133">
      <w:pPr>
        <w:contextualSpacing w:val="0"/>
      </w:pPr>
    </w:p>
    <w:p w:rsidR="00F82133" w:rsidRDefault="00B00906">
      <w:pPr>
        <w:contextualSpacing w:val="0"/>
        <w:rPr>
          <w:highlight w:val="yellow"/>
        </w:rPr>
      </w:pPr>
      <w:r>
        <w:t>For example, these following heavily weight</w:t>
      </w:r>
      <w:r>
        <w:t>ed negative factors would potentially harm victims in these ways:  *</w:t>
      </w:r>
      <w:r>
        <w:rPr>
          <w:highlight w:val="yellow"/>
        </w:rPr>
        <w:t xml:space="preserve">INCLUDE BELOW THE SPECIFIC RELEVANT FACTORS AND HOW THEY APPLY TO SURVIVORS THAT YOU OR YOUR ORGANIZATION HAVE WORKED WITH </w:t>
      </w:r>
    </w:p>
    <w:p w:rsidR="00F82133" w:rsidRDefault="00F82133">
      <w:pPr>
        <w:contextualSpacing w:val="0"/>
        <w:rPr>
          <w:highlight w:val="yellow"/>
        </w:rPr>
      </w:pPr>
    </w:p>
    <w:p w:rsidR="00F82133" w:rsidRDefault="00B00906">
      <w:pPr>
        <w:contextualSpacing w:val="0"/>
      </w:pPr>
      <w:r>
        <w:lastRenderedPageBreak/>
        <w:t>1)   The applicant for admission is not a full-time student and</w:t>
      </w:r>
      <w:r>
        <w:t xml:space="preserve"> is authorized to work, but is unable to demonstrate current employment, and has no employment history or no reasonable prospect of future employment. </w:t>
      </w:r>
    </w:p>
    <w:p w:rsidR="00F82133" w:rsidRDefault="00F82133">
      <w:pPr>
        <w:ind w:left="720"/>
        <w:contextualSpacing w:val="0"/>
      </w:pPr>
    </w:p>
    <w:p w:rsidR="00F82133" w:rsidRDefault="00B00906">
      <w:pPr>
        <w:ind w:left="720"/>
        <w:contextualSpacing w:val="0"/>
      </w:pPr>
      <w:r>
        <w:t>Survivors whose partners have sabotaged their ability to find or hold employment, restricted their acce</w:t>
      </w:r>
      <w:r>
        <w:t xml:space="preserve">ss to bank and other financial accounts, built up debt in their name, or exerted other forms of economic exploitation and control are forced to become dependent on their abusive partners’ incomes. Survivors of domestic violence and sexual assault may also </w:t>
      </w:r>
      <w:r>
        <w:t>lose their jobs due to intense trauma, reduced productivity, harassment at work by perpetrators, and other reasons stemming from the violence.</w:t>
      </w:r>
      <w:r>
        <w:rPr>
          <w:vertAlign w:val="superscript"/>
        </w:rPr>
        <w:footnoteReference w:id="21"/>
      </w:r>
    </w:p>
    <w:p w:rsidR="00F82133" w:rsidRDefault="00B00906">
      <w:pPr>
        <w:contextualSpacing w:val="0"/>
      </w:pPr>
      <w:r>
        <w:t>[</w:t>
      </w:r>
      <w:r>
        <w:rPr>
          <w:highlight w:val="yellow"/>
        </w:rPr>
        <w:t xml:space="preserve">INSERT specific story or example of how abuse/assault has undermined employment, such as through isolation, or </w:t>
      </w:r>
      <w:r>
        <w:rPr>
          <w:highlight w:val="yellow"/>
        </w:rPr>
        <w:t>in instances where abuser sabotaged employment]</w:t>
      </w:r>
    </w:p>
    <w:p w:rsidR="00F82133" w:rsidRDefault="00B00906">
      <w:pPr>
        <w:contextualSpacing w:val="0"/>
      </w:pPr>
      <w:r>
        <w:t xml:space="preserve">2)   The applicant for admission is receiving public benefits, is currently “certified or approved” to receive public </w:t>
      </w:r>
      <w:proofErr w:type="gramStart"/>
      <w:r>
        <w:t>benefits, or</w:t>
      </w:r>
      <w:proofErr w:type="gramEnd"/>
      <w:r>
        <w:t xml:space="preserve"> has received one or more public benefits within the 36 months immediately pre</w:t>
      </w:r>
      <w:r>
        <w:t>ceding applying for a visa, admission, or adjustment of status.</w:t>
      </w:r>
    </w:p>
    <w:p w:rsidR="00F82133" w:rsidRDefault="00B00906">
      <w:pPr>
        <w:ind w:left="720"/>
        <w:contextualSpacing w:val="0"/>
        <w:rPr>
          <w:highlight w:val="yellow"/>
        </w:rPr>
      </w:pPr>
      <w:r>
        <w:t>[</w:t>
      </w:r>
      <w:r>
        <w:rPr>
          <w:highlight w:val="yellow"/>
        </w:rPr>
        <w:t>INSERT specific story or example of how a victim has needed public benefits or health care assistance when preparing to leave abuse or in the aftermath of abuse. This could relate to the surv</w:t>
      </w:r>
      <w:r>
        <w:rPr>
          <w:highlight w:val="yellow"/>
        </w:rPr>
        <w:t>ivor’s decision and ability to escape or overcome violence made possible due to:</w:t>
      </w:r>
    </w:p>
    <w:p w:rsidR="00F82133" w:rsidRDefault="00B00906">
      <w:pPr>
        <w:numPr>
          <w:ilvl w:val="0"/>
          <w:numId w:val="4"/>
        </w:numPr>
        <w:ind w:left="1440"/>
        <w:rPr>
          <w:highlight w:val="yellow"/>
        </w:rPr>
      </w:pPr>
      <w:r>
        <w:rPr>
          <w:highlight w:val="yellow"/>
        </w:rPr>
        <w:t>Access to housing services such as housing vouchers, rental assistance, or public housing</w:t>
      </w:r>
    </w:p>
    <w:p w:rsidR="00F82133" w:rsidRDefault="00B00906">
      <w:pPr>
        <w:numPr>
          <w:ilvl w:val="1"/>
          <w:numId w:val="4"/>
        </w:numPr>
        <w:ind w:left="2160"/>
        <w:rPr>
          <w:highlight w:val="yellow"/>
        </w:rPr>
      </w:pPr>
      <w:r>
        <w:rPr>
          <w:highlight w:val="yellow"/>
        </w:rPr>
        <w:t xml:space="preserve">You can also find state-specific statistics on housing needs here: </w:t>
      </w:r>
      <w:hyperlink r:id="rId15">
        <w:r>
          <w:rPr>
            <w:color w:val="1155CC"/>
            <w:highlight w:val="yellow"/>
            <w:u w:val="single"/>
          </w:rPr>
          <w:t>https://nnedv.org/content/domestic-violence-counts-12th-annual-census-report/</w:t>
        </w:r>
      </w:hyperlink>
      <w:r>
        <w:rPr>
          <w:highlight w:val="yellow"/>
        </w:rPr>
        <w:t>.</w:t>
      </w:r>
    </w:p>
    <w:p w:rsidR="00F82133" w:rsidRDefault="00B00906">
      <w:pPr>
        <w:numPr>
          <w:ilvl w:val="0"/>
          <w:numId w:val="4"/>
        </w:numPr>
        <w:ind w:left="1440"/>
        <w:rPr>
          <w:highlight w:val="yellow"/>
        </w:rPr>
      </w:pPr>
      <w:r>
        <w:rPr>
          <w:highlight w:val="yellow"/>
        </w:rPr>
        <w:t>Access to cash assistance to meet their and their family’s basic needs</w:t>
      </w:r>
    </w:p>
    <w:p w:rsidR="00F82133" w:rsidRDefault="00B00906">
      <w:pPr>
        <w:numPr>
          <w:ilvl w:val="0"/>
          <w:numId w:val="4"/>
        </w:numPr>
        <w:ind w:left="1440"/>
        <w:rPr>
          <w:highlight w:val="yellow"/>
        </w:rPr>
      </w:pPr>
      <w:r>
        <w:rPr>
          <w:highlight w:val="yellow"/>
        </w:rPr>
        <w:t>Access to S</w:t>
      </w:r>
      <w:r>
        <w:rPr>
          <w:highlight w:val="yellow"/>
        </w:rPr>
        <w:t>NAP to avoid falling into food insecurity and meet basic food needs</w:t>
      </w:r>
    </w:p>
    <w:p w:rsidR="00F82133" w:rsidRDefault="00B00906">
      <w:pPr>
        <w:numPr>
          <w:ilvl w:val="0"/>
          <w:numId w:val="4"/>
        </w:numPr>
        <w:ind w:left="1440"/>
        <w:rPr>
          <w:highlight w:val="yellow"/>
        </w:rPr>
      </w:pPr>
      <w:r>
        <w:rPr>
          <w:highlight w:val="yellow"/>
        </w:rPr>
        <w:t>Access to Medicaid to heal from trauma - physical, mental, emotional, etc.</w:t>
      </w:r>
    </w:p>
    <w:p w:rsidR="00F82133" w:rsidRDefault="00B00906">
      <w:pPr>
        <w:ind w:left="720"/>
        <w:contextualSpacing w:val="0"/>
        <w:rPr>
          <w:highlight w:val="yellow"/>
        </w:rPr>
      </w:pPr>
      <w:r>
        <w:rPr>
          <w:highlight w:val="yellow"/>
        </w:rPr>
        <w:t>You could also speak to the consequences that the lack of access to public benefits would have had on the survivo</w:t>
      </w:r>
      <w:r>
        <w:rPr>
          <w:highlight w:val="yellow"/>
        </w:rPr>
        <w:t>r (e.g. survivor would have had to return to the abuser).]</w:t>
      </w:r>
    </w:p>
    <w:p w:rsidR="00F82133" w:rsidRDefault="00B00906">
      <w:pPr>
        <w:contextualSpacing w:val="0"/>
      </w:pPr>
      <w:r>
        <w:t>3)   The applicant for admission has been diagnosed with a medical condition that is likely to require extensive medical treatment or institutionalization or that will interfere with his or her abi</w:t>
      </w:r>
      <w:r>
        <w:t>lity to provide for him- or herself, attend school, or work; and does not have, or is unlikely to have private health insurance, or the ability to pay for reasonably foreseeable medical costs.  [</w:t>
      </w:r>
      <w:r>
        <w:rPr>
          <w:highlight w:val="yellow"/>
        </w:rPr>
        <w:t>INSERT specific story or example of survivor having injury ca</w:t>
      </w:r>
      <w:r>
        <w:rPr>
          <w:highlight w:val="yellow"/>
        </w:rPr>
        <w:t>used by abuse, not having insurance because the survivor left the abuser, etc.]</w:t>
      </w:r>
    </w:p>
    <w:p w:rsidR="00F82133" w:rsidRDefault="00B00906">
      <w:pPr>
        <w:contextualSpacing w:val="0"/>
      </w:pPr>
      <w:r>
        <w:t xml:space="preserve"> </w:t>
      </w:r>
    </w:p>
    <w:p w:rsidR="00F82133" w:rsidRDefault="00B00906">
      <w:pPr>
        <w:contextualSpacing w:val="0"/>
      </w:pPr>
      <w:r>
        <w:t xml:space="preserve">None of these factors, by itself, is to be dispositive. We therefore highly recommend that the proposed rule include, in considering the totality of the circumstances, the purpose and guidance of the important protections in federal laws like the Violence </w:t>
      </w:r>
      <w:r>
        <w:t xml:space="preserve">Against Women Act, the Trafficking Victims Protection Act, the Victims of Crime Act, and other important laws protecting victims from being subjected to the public charge test. Given that admission to the United States </w:t>
      </w:r>
      <w:r>
        <w:lastRenderedPageBreak/>
        <w:t>or adjustment of status can help vict</w:t>
      </w:r>
      <w:r>
        <w:t>ims access employment and increase their ability to escape the violence or overcome the trauma they’ve suffered, in applying the public charge rule, DHS should consider the supportive and protective effects of stable immigration status to survivors.</w:t>
      </w:r>
    </w:p>
    <w:p w:rsidR="00F82133" w:rsidRDefault="00F82133">
      <w:pPr>
        <w:contextualSpacing w:val="0"/>
      </w:pPr>
    </w:p>
    <w:p w:rsidR="00F82133" w:rsidRDefault="00F82133">
      <w:pPr>
        <w:contextualSpacing w:val="0"/>
      </w:pPr>
    </w:p>
    <w:p w:rsidR="00F82133" w:rsidRDefault="00B00906">
      <w:pPr>
        <w:pStyle w:val="Heading1"/>
        <w:spacing w:before="0" w:after="0"/>
        <w:contextualSpacing w:val="0"/>
        <w:rPr>
          <w:b/>
          <w:sz w:val="22"/>
          <w:szCs w:val="22"/>
        </w:rPr>
      </w:pPr>
      <w:bookmarkStart w:id="6" w:name="_b07achhd12ag" w:colFirst="0" w:colLast="0"/>
      <w:bookmarkEnd w:id="6"/>
      <w:r>
        <w:rPr>
          <w:b/>
          <w:sz w:val="22"/>
          <w:szCs w:val="22"/>
        </w:rPr>
        <w:t>3. T</w:t>
      </w:r>
      <w:r>
        <w:rPr>
          <w:b/>
          <w:sz w:val="22"/>
          <w:szCs w:val="22"/>
        </w:rPr>
        <w:t>he public charge rule will isolate survivors from their families and vital systems of support.</w:t>
      </w:r>
    </w:p>
    <w:p w:rsidR="00F82133" w:rsidRDefault="00B00906">
      <w:pPr>
        <w:contextualSpacing w:val="0"/>
      </w:pPr>
      <w:r>
        <w:t>Family members serve as one of the main sources of support for survivors, and the presence of a strong support system can be vital to a survivor’s ability to dis</w:t>
      </w:r>
      <w:r>
        <w:t>close, escape, and heal from the trauma of domestic violence, sexual assault, and other gender-based abuses. Survivors stress that having family in their lives is essential to their recovery, providing survivors with the affirmation, encouragement, stabili</w:t>
      </w:r>
      <w:r>
        <w:t>ty, and resources they need to grow and move forward.</w:t>
      </w:r>
      <w:r>
        <w:rPr>
          <w:vertAlign w:val="superscript"/>
        </w:rPr>
        <w:footnoteReference w:id="22"/>
      </w:r>
      <w:r>
        <w:t xml:space="preserve"> The public charge rule threatens to isolate victims from their families and support system if they access critical economic, health, housing, and other programs to escape or heal from violence. Survivo</w:t>
      </w:r>
      <w:r>
        <w:t>rs will be forced to choose between reuniting with loved ones and using benefits available to them – both of which are necessary to weather tough times. This will only serve to undermine or prolong a survivor’s recovery process.</w:t>
      </w:r>
    </w:p>
    <w:p w:rsidR="00F82133" w:rsidRDefault="00B00906">
      <w:pPr>
        <w:contextualSpacing w:val="0"/>
      </w:pPr>
      <w:r>
        <w:rPr>
          <w:highlight w:val="yellow"/>
        </w:rPr>
        <w:t>[INSERT specific story or e</w:t>
      </w:r>
      <w:r>
        <w:rPr>
          <w:highlight w:val="yellow"/>
        </w:rPr>
        <w:t xml:space="preserve">xample of how </w:t>
      </w:r>
      <w:proofErr w:type="gramStart"/>
      <w:r>
        <w:rPr>
          <w:highlight w:val="yellow"/>
        </w:rPr>
        <w:t>having family as a support system</w:t>
      </w:r>
      <w:proofErr w:type="gramEnd"/>
      <w:r>
        <w:rPr>
          <w:highlight w:val="yellow"/>
        </w:rPr>
        <w:t xml:space="preserve"> helped a survivor to escape or recover abuse, a survivor who voiced the importance of family as a support system, a specific family member who helped a survivor, etc.]</w:t>
      </w:r>
    </w:p>
    <w:p w:rsidR="00F82133" w:rsidRDefault="00F82133">
      <w:pPr>
        <w:contextualSpacing w:val="0"/>
      </w:pPr>
    </w:p>
    <w:p w:rsidR="00F82133" w:rsidRDefault="00B00906">
      <w:pPr>
        <w:pStyle w:val="Title"/>
        <w:contextualSpacing w:val="0"/>
      </w:pPr>
      <w:bookmarkStart w:id="7" w:name="_8wavhpsyoak5" w:colFirst="0" w:colLast="0"/>
      <w:bookmarkEnd w:id="7"/>
      <w:r>
        <w:t>Conclusion</w:t>
      </w:r>
    </w:p>
    <w:p w:rsidR="00F82133" w:rsidRDefault="00B00906">
      <w:pPr>
        <w:contextualSpacing w:val="0"/>
      </w:pPr>
      <w:r>
        <w:t xml:space="preserve">For the reasons detailed in </w:t>
      </w:r>
      <w:r>
        <w:t>these comments regarding the harm that the proposed public charge rule will have on survivors of domestic violence and sexual assault, we strongly oppose any change to the public charge rule that will make it more difficult for survivors of violence to acc</w:t>
      </w:r>
      <w:r>
        <w:t>ess critical protections they need to escape or recover from abuse. The changes to public charge policies as outlined in the proposed rule are having,</w:t>
      </w:r>
      <w:r>
        <w:rPr>
          <w:vertAlign w:val="superscript"/>
        </w:rPr>
        <w:footnoteReference w:id="23"/>
      </w:r>
      <w:r>
        <w:t xml:space="preserve"> and will continue to have, a significant detrimental impact on survivors of domestic violence and sexual</w:t>
      </w:r>
      <w:r>
        <w:t xml:space="preserve"> assault.</w:t>
      </w:r>
    </w:p>
    <w:p w:rsidR="00F82133" w:rsidRDefault="00F82133">
      <w:pPr>
        <w:contextualSpacing w:val="0"/>
      </w:pPr>
    </w:p>
    <w:p w:rsidR="00F82133" w:rsidRDefault="00B00906">
      <w:pPr>
        <w:contextualSpacing w:val="0"/>
      </w:pPr>
      <w:r>
        <w:rPr>
          <w:highlight w:val="white"/>
        </w:rPr>
        <w:t>We instead urge that the current guidance around public charge remain in effect. Under current policy, only cash “welfare” assistance for income maintenance and government funded long-term care received or relied upon by an applicant can be take</w:t>
      </w:r>
      <w:r>
        <w:rPr>
          <w:highlight w:val="white"/>
        </w:rPr>
        <w:t xml:space="preserve">n into consideration in the “public charge” test – and only when it represents </w:t>
      </w:r>
      <w:proofErr w:type="gramStart"/>
      <w:r>
        <w:rPr>
          <w:highlight w:val="white"/>
        </w:rPr>
        <w:t>the majority of</w:t>
      </w:r>
      <w:proofErr w:type="gramEnd"/>
      <w:r>
        <w:rPr>
          <w:highlight w:val="white"/>
        </w:rPr>
        <w:t xml:space="preserve"> a person’s support. The proposed rule would alter the test dramatically, abandoning the enduring meaning of a public charge as a person who depends on the govern</w:t>
      </w:r>
      <w:r>
        <w:rPr>
          <w:highlight w:val="white"/>
        </w:rPr>
        <w:t xml:space="preserve">ment for subsistence, changing it to anyone, including a survivor, who simply receives ​assistance with ​support for </w:t>
      </w:r>
      <w:r>
        <w:t>health, nutrition, or housing to meet their basic needs. There is ample evidence that there is no issue with the current guidance and no pe</w:t>
      </w:r>
      <w:r>
        <w:t>rsuasive rationale for change, and we therefore urge that DHS maintain reasonable existing guidance.</w:t>
      </w:r>
    </w:p>
    <w:p w:rsidR="00F82133" w:rsidRDefault="00F82133">
      <w:pPr>
        <w:contextualSpacing w:val="0"/>
      </w:pPr>
    </w:p>
    <w:p w:rsidR="00F82133" w:rsidRDefault="00B00906">
      <w:pPr>
        <w:contextualSpacing w:val="0"/>
      </w:pPr>
      <w:r>
        <w:t xml:space="preserve">Thank you for the opportunity to submit comments on the Notice of Proposed Rulemaking Inadmissibility on Public Charge Grounds. Please do not hesitate to </w:t>
      </w:r>
      <w:r>
        <w:t>contact [</w:t>
      </w:r>
      <w:r>
        <w:rPr>
          <w:highlight w:val="yellow"/>
        </w:rPr>
        <w:t>INSERT your name</w:t>
      </w:r>
      <w:r>
        <w:t>] to provide further information</w:t>
      </w:r>
    </w:p>
    <w:p w:rsidR="00F82133" w:rsidRDefault="00F82133">
      <w:pPr>
        <w:contextualSpacing w:val="0"/>
      </w:pPr>
    </w:p>
    <w:p w:rsidR="00F82133" w:rsidRDefault="00B00906">
      <w:pPr>
        <w:contextualSpacing w:val="0"/>
      </w:pPr>
      <w:r>
        <w:t>Sincerely,</w:t>
      </w:r>
    </w:p>
    <w:p w:rsidR="00F82133" w:rsidRDefault="00F82133">
      <w:pPr>
        <w:contextualSpacing w:val="0"/>
      </w:pPr>
    </w:p>
    <w:p w:rsidR="00F82133" w:rsidRDefault="00B00906">
      <w:pPr>
        <w:contextualSpacing w:val="0"/>
        <w:rPr>
          <w:highlight w:val="yellow"/>
        </w:rPr>
      </w:pPr>
      <w:r>
        <w:rPr>
          <w:highlight w:val="yellow"/>
        </w:rPr>
        <w:t>[ORGANIZATION]</w:t>
      </w:r>
    </w:p>
    <w:p w:rsidR="00F82133" w:rsidRDefault="00B00906">
      <w:pPr>
        <w:contextualSpacing w:val="0"/>
        <w:rPr>
          <w:highlight w:val="yellow"/>
        </w:rPr>
      </w:pPr>
      <w:r>
        <w:rPr>
          <w:highlight w:val="yellow"/>
        </w:rPr>
        <w:t>[NAME]</w:t>
      </w:r>
    </w:p>
    <w:p w:rsidR="00F82133" w:rsidRDefault="00B00906">
      <w:pPr>
        <w:contextualSpacing w:val="0"/>
        <w:rPr>
          <w:highlight w:val="yellow"/>
        </w:rPr>
      </w:pPr>
      <w:r>
        <w:rPr>
          <w:highlight w:val="yellow"/>
        </w:rPr>
        <w:t>[TITLE]</w:t>
      </w:r>
    </w:p>
    <w:p w:rsidR="00F82133" w:rsidRDefault="00B00906">
      <w:pPr>
        <w:contextualSpacing w:val="0"/>
        <w:rPr>
          <w:highlight w:val="yellow"/>
        </w:rPr>
      </w:pPr>
      <w:r>
        <w:rPr>
          <w:highlight w:val="yellow"/>
        </w:rPr>
        <w:t>[INSERT Contact information and add signature line if desired.]</w:t>
      </w:r>
    </w:p>
    <w:p w:rsidR="00F82133" w:rsidRDefault="00F82133">
      <w:pPr>
        <w:contextualSpacing w:val="0"/>
      </w:pPr>
    </w:p>
    <w:sectPr w:rsidR="00F821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906" w:rsidRDefault="00B00906">
      <w:pPr>
        <w:spacing w:line="240" w:lineRule="auto"/>
      </w:pPr>
      <w:r>
        <w:separator/>
      </w:r>
    </w:p>
  </w:endnote>
  <w:endnote w:type="continuationSeparator" w:id="0">
    <w:p w:rsidR="00B00906" w:rsidRDefault="00B00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906" w:rsidRDefault="00B00906">
      <w:pPr>
        <w:spacing w:line="240" w:lineRule="auto"/>
      </w:pPr>
      <w:r>
        <w:separator/>
      </w:r>
    </w:p>
  </w:footnote>
  <w:footnote w:type="continuationSeparator" w:id="0">
    <w:p w:rsidR="00B00906" w:rsidRDefault="00B00906">
      <w:pPr>
        <w:spacing w:line="240" w:lineRule="auto"/>
      </w:pPr>
      <w:r>
        <w:continuationSeparator/>
      </w:r>
    </w:p>
  </w:footnote>
  <w:footnote w:id="1">
    <w:p w:rsidR="00F82133" w:rsidRDefault="00B00906">
      <w:pPr>
        <w:spacing w:line="240" w:lineRule="auto"/>
        <w:contextualSpacing w:val="0"/>
        <w:rPr>
          <w:sz w:val="20"/>
          <w:szCs w:val="20"/>
        </w:rPr>
      </w:pPr>
      <w:r>
        <w:rPr>
          <w:vertAlign w:val="superscript"/>
        </w:rPr>
        <w:footnoteRef/>
      </w:r>
      <w:r>
        <w:rPr>
          <w:sz w:val="20"/>
          <w:szCs w:val="20"/>
        </w:rPr>
        <w:t xml:space="preserve"> Dutton, M.A., Orloff, L.E., Hass, G.A. (2000). Characteristics of Help-Seeking Behaviors</w:t>
      </w:r>
      <w:r>
        <w:rPr>
          <w:sz w:val="20"/>
          <w:szCs w:val="20"/>
        </w:rPr>
        <w:t xml:space="preserve">, Resources and Service Needs of Battered Immigrant Latinas: Legal and Policy Implications. Georgetown Journal on Poverty Law &amp; Policy, 7(2), 1-53.; </w:t>
      </w:r>
      <w:proofErr w:type="spellStart"/>
      <w:r>
        <w:rPr>
          <w:sz w:val="20"/>
          <w:szCs w:val="20"/>
        </w:rPr>
        <w:t>Erez</w:t>
      </w:r>
      <w:proofErr w:type="spellEnd"/>
      <w:r>
        <w:rPr>
          <w:sz w:val="20"/>
          <w:szCs w:val="20"/>
        </w:rPr>
        <w:t>, E., Adelman, M., Gregory, C. (2009). Intersections of Immigration and Domestic Violence: Voices of Ba</w:t>
      </w:r>
      <w:r>
        <w:rPr>
          <w:sz w:val="20"/>
          <w:szCs w:val="20"/>
        </w:rPr>
        <w:t>ttered Immigrant Women. Feminist Criminology, 4(1), 32-56. DOI: 10.1177/1557085108325413.</w:t>
      </w:r>
    </w:p>
  </w:footnote>
  <w:footnote w:id="2">
    <w:p w:rsidR="00F82133" w:rsidRDefault="00B00906">
      <w:pPr>
        <w:spacing w:line="240" w:lineRule="auto"/>
        <w:contextualSpacing w:val="0"/>
        <w:rPr>
          <w:sz w:val="20"/>
          <w:szCs w:val="20"/>
        </w:rPr>
      </w:pPr>
      <w:r>
        <w:rPr>
          <w:vertAlign w:val="superscript"/>
        </w:rPr>
        <w:footnoteRef/>
      </w:r>
      <w:r>
        <w:rPr>
          <w:sz w:val="20"/>
          <w:szCs w:val="20"/>
        </w:rPr>
        <w:t xml:space="preserve"> Centers for Disease Control and Prevention. (2017). The National Intimate Partner and Sexual Violence Survey (NISVS): 2010-2012 State Report. Available at: </w:t>
      </w:r>
      <w:hyperlink r:id="rId1">
        <w:r>
          <w:rPr>
            <w:color w:val="1155CC"/>
            <w:sz w:val="20"/>
            <w:szCs w:val="20"/>
            <w:u w:val="single"/>
          </w:rPr>
          <w:t>https://www.cdc.gov/violenceprevention/pdf/NISVS-StateReportBook.pdf</w:t>
        </w:r>
      </w:hyperlink>
    </w:p>
  </w:footnote>
  <w:footnote w:id="3">
    <w:p w:rsidR="00F82133" w:rsidRDefault="00B00906">
      <w:pPr>
        <w:spacing w:line="240" w:lineRule="auto"/>
        <w:contextualSpacing w:val="0"/>
        <w:rPr>
          <w:sz w:val="20"/>
          <w:szCs w:val="20"/>
        </w:rPr>
      </w:pPr>
      <w:r>
        <w:rPr>
          <w:vertAlign w:val="superscript"/>
        </w:rPr>
        <w:footnoteRef/>
      </w:r>
      <w:r>
        <w:rPr>
          <w:sz w:val="20"/>
          <w:szCs w:val="20"/>
        </w:rPr>
        <w:t xml:space="preserve"> Centers for Disease Control and Prevention. (2011). Sexual Violence, Stalking, and Intimate Partner Violence Widespread in the US. Available at: </w:t>
      </w:r>
      <w:hyperlink r:id="rId2">
        <w:r>
          <w:rPr>
            <w:color w:val="1155CC"/>
            <w:sz w:val="20"/>
            <w:szCs w:val="20"/>
            <w:u w:val="single"/>
          </w:rPr>
          <w:t>https://www.cdc.gov/medi</w:t>
        </w:r>
        <w:r>
          <w:rPr>
            <w:color w:val="1155CC"/>
            <w:sz w:val="20"/>
            <w:szCs w:val="20"/>
            <w:u w:val="single"/>
          </w:rPr>
          <w:t>a/releases/2011/p1214_sexual_violence.html</w:t>
        </w:r>
      </w:hyperlink>
    </w:p>
  </w:footnote>
  <w:footnote w:id="4">
    <w:p w:rsidR="00F82133" w:rsidRDefault="00B00906">
      <w:pPr>
        <w:spacing w:line="240" w:lineRule="auto"/>
        <w:contextualSpacing w:val="0"/>
        <w:rPr>
          <w:sz w:val="20"/>
          <w:szCs w:val="20"/>
        </w:rPr>
      </w:pPr>
      <w:r>
        <w:rPr>
          <w:vertAlign w:val="superscript"/>
        </w:rPr>
        <w:footnoteRef/>
      </w:r>
      <w:r>
        <w:rPr>
          <w:sz w:val="20"/>
          <w:szCs w:val="20"/>
        </w:rPr>
        <w:t xml:space="preserve"> Centers for Disease Control (2017). Preventing Intimate Partner Violence Across the Lifespan: A Technical Package of Programs, Policies, and Practices. Available at </w:t>
      </w:r>
      <w:hyperlink r:id="rId3">
        <w:r>
          <w:rPr>
            <w:color w:val="1155CC"/>
            <w:sz w:val="20"/>
            <w:szCs w:val="20"/>
            <w:u w:val="single"/>
          </w:rPr>
          <w:t>https://www.cdc.gov/violenceprevention/pdf/ipv-technicalpackages.pdf</w:t>
        </w:r>
      </w:hyperlink>
    </w:p>
  </w:footnote>
  <w:footnote w:id="5">
    <w:p w:rsidR="00F82133" w:rsidRDefault="00B00906">
      <w:pPr>
        <w:spacing w:line="240" w:lineRule="auto"/>
        <w:contextualSpacing w:val="0"/>
        <w:rPr>
          <w:sz w:val="20"/>
          <w:szCs w:val="20"/>
        </w:rPr>
      </w:pPr>
      <w:r>
        <w:rPr>
          <w:vertAlign w:val="superscript"/>
        </w:rPr>
        <w:footnoteRef/>
      </w:r>
      <w:r>
        <w:rPr>
          <w:sz w:val="20"/>
          <w:szCs w:val="20"/>
        </w:rPr>
        <w:t xml:space="preserve"> National Network to End Domestic Violence. 2018. Domestic Violence Counts: 12th Annual Census Report. Available at </w:t>
      </w:r>
      <w:hyperlink r:id="rId4">
        <w:r>
          <w:rPr>
            <w:color w:val="1155CC"/>
            <w:sz w:val="20"/>
            <w:szCs w:val="20"/>
            <w:u w:val="single"/>
          </w:rPr>
          <w:t>https://nnedv.org/content/domestic-violence-counts-12th-annual-census-report/</w:t>
        </w:r>
      </w:hyperlink>
      <w:r>
        <w:rPr>
          <w:sz w:val="20"/>
          <w:szCs w:val="20"/>
        </w:rPr>
        <w:t>.</w:t>
      </w:r>
    </w:p>
  </w:footnote>
  <w:footnote w:id="6">
    <w:p w:rsidR="00F82133" w:rsidRDefault="00B00906">
      <w:pPr>
        <w:spacing w:line="240" w:lineRule="auto"/>
        <w:contextualSpacing w:val="0"/>
        <w:rPr>
          <w:sz w:val="20"/>
          <w:szCs w:val="20"/>
        </w:rPr>
      </w:pPr>
      <w:r>
        <w:rPr>
          <w:vertAlign w:val="superscript"/>
        </w:rPr>
        <w:footnoteRef/>
      </w:r>
      <w:r>
        <w:rPr>
          <w:sz w:val="20"/>
          <w:szCs w:val="20"/>
        </w:rPr>
        <w:t xml:space="preserve">  Wilder Research Center, Homelessness in Minnesota 2003 22 (2004); Center for Impact Research, Pathways to and from Homelessness: Women and Children in Chicago Shelters 3 (2004); Nat’l Center on Family Homelessness &amp; Health Care for the Homeless Clinician</w:t>
      </w:r>
      <w:r>
        <w:rPr>
          <w:sz w:val="20"/>
          <w:szCs w:val="20"/>
        </w:rPr>
        <w:t>s’ Network, Social Supports for Homeless Mothers, 14 26 (2003); Inst. For Children &amp; Poverty, The Hidden Migration: Why New York City Shelters Are Overflowing with Families (2004); Homes for the Homeless &amp; Inst. For Children &amp; Poverty, Ten Cities 1997-1998</w:t>
      </w:r>
      <w:r>
        <w:rPr>
          <w:sz w:val="20"/>
          <w:szCs w:val="20"/>
        </w:rPr>
        <w:t>: A Snapshot of Family Homelessness Across America 3 (1998); Virginia Coalition for the Homeless, 1995 Shelter Provider Survey (</w:t>
      </w:r>
      <w:proofErr w:type="gramStart"/>
      <w:r>
        <w:rPr>
          <w:sz w:val="20"/>
          <w:szCs w:val="20"/>
        </w:rPr>
        <w:t>1995)(</w:t>
      </w:r>
      <w:proofErr w:type="gramEnd"/>
      <w:r>
        <w:rPr>
          <w:sz w:val="20"/>
          <w:szCs w:val="20"/>
        </w:rPr>
        <w:t>out of print), cited in Nat’l Coalition for the Homeless, Domestic Violence and Homelessness: NCH Fact Sheet #8 (1999).</w:t>
      </w:r>
    </w:p>
  </w:footnote>
  <w:footnote w:id="7">
    <w:p w:rsidR="00F82133" w:rsidRDefault="00B00906">
      <w:pPr>
        <w:spacing w:line="240" w:lineRule="auto"/>
        <w:contextualSpacing w:val="0"/>
        <w:rPr>
          <w:sz w:val="20"/>
          <w:szCs w:val="20"/>
        </w:rPr>
      </w:pPr>
      <w:r>
        <w:rPr>
          <w:vertAlign w:val="superscript"/>
        </w:rPr>
        <w:footnoteRef/>
      </w:r>
      <w:r>
        <w:rPr>
          <w:sz w:val="20"/>
          <w:szCs w:val="20"/>
        </w:rPr>
        <w:t xml:space="preserve"> </w:t>
      </w:r>
      <w:r>
        <w:rPr>
          <w:sz w:val="20"/>
          <w:szCs w:val="20"/>
        </w:rPr>
        <w:t xml:space="preserve">National Sexual Violence Resource Center. 2010. Housing and Sexual Violence: Overview of national survey: January 2010. Available at </w:t>
      </w:r>
      <w:hyperlink r:id="rId5">
        <w:r>
          <w:rPr>
            <w:color w:val="1155CC"/>
            <w:sz w:val="20"/>
            <w:szCs w:val="20"/>
            <w:u w:val="single"/>
          </w:rPr>
          <w:t>http://www.nsvrc.org/sites/default/files/NSVRC_Publications_Reports_Housing-and-sexual-violence-overview-of-national-survey.pdf</w:t>
        </w:r>
      </w:hyperlink>
    </w:p>
  </w:footnote>
  <w:footnote w:id="8">
    <w:p w:rsidR="00F82133" w:rsidRDefault="00B00906">
      <w:pPr>
        <w:spacing w:line="240" w:lineRule="auto"/>
        <w:contextualSpacing w:val="0"/>
        <w:rPr>
          <w:sz w:val="20"/>
          <w:szCs w:val="20"/>
        </w:rPr>
      </w:pPr>
      <w:r>
        <w:rPr>
          <w:vertAlign w:val="superscript"/>
        </w:rPr>
        <w:footnoteRef/>
      </w:r>
      <w:r>
        <w:rPr>
          <w:sz w:val="20"/>
          <w:szCs w:val="20"/>
        </w:rPr>
        <w:t xml:space="preserve"> See, e.g., </w:t>
      </w:r>
      <w:proofErr w:type="spellStart"/>
      <w:r>
        <w:rPr>
          <w:sz w:val="20"/>
          <w:szCs w:val="20"/>
        </w:rPr>
        <w:t>Loya</w:t>
      </w:r>
      <w:proofErr w:type="spellEnd"/>
      <w:r>
        <w:rPr>
          <w:sz w:val="20"/>
          <w:szCs w:val="20"/>
        </w:rPr>
        <w:t>, R. M. (2014) Rape as an economic crime: The impact of sexual violence on survivor’s e</w:t>
      </w:r>
      <w:r>
        <w:rPr>
          <w:sz w:val="20"/>
          <w:szCs w:val="20"/>
        </w:rPr>
        <w:t>mployment and economic well-being. Journal of Interpersonal Violence, 30 (16), 2793-2813.doi:10.1177/0886260514554291</w:t>
      </w:r>
    </w:p>
  </w:footnote>
  <w:footnote w:id="9">
    <w:p w:rsidR="00F82133" w:rsidRDefault="00B00906">
      <w:pPr>
        <w:spacing w:line="240" w:lineRule="auto"/>
        <w:contextualSpacing w:val="0"/>
        <w:rPr>
          <w:sz w:val="20"/>
          <w:szCs w:val="20"/>
        </w:rPr>
      </w:pPr>
      <w:r>
        <w:rPr>
          <w:vertAlign w:val="superscript"/>
        </w:rPr>
        <w:footnoteRef/>
      </w:r>
      <w:r>
        <w:rPr>
          <w:sz w:val="20"/>
          <w:szCs w:val="20"/>
        </w:rPr>
        <w:t xml:space="preserve"> See, e.g., Logan, TK, Evans, L., Stevenson, E., &amp; Jordan C. E. (2005). Barriers to services for rural and urban survivors of rape. Journ</w:t>
      </w:r>
      <w:r>
        <w:rPr>
          <w:sz w:val="20"/>
          <w:szCs w:val="20"/>
        </w:rPr>
        <w:t xml:space="preserve">al of Interpersonal Violence, 20, 591-616. doi:10.1177/0886260504272899 </w:t>
      </w:r>
    </w:p>
  </w:footnote>
  <w:footnote w:id="10">
    <w:p w:rsidR="00F82133" w:rsidRDefault="00B00906">
      <w:pPr>
        <w:spacing w:line="240" w:lineRule="auto"/>
        <w:contextualSpacing w:val="0"/>
        <w:rPr>
          <w:sz w:val="20"/>
          <w:szCs w:val="20"/>
        </w:rPr>
      </w:pPr>
      <w:r>
        <w:rPr>
          <w:vertAlign w:val="superscript"/>
        </w:rPr>
        <w:footnoteRef/>
      </w:r>
      <w:r>
        <w:rPr>
          <w:sz w:val="20"/>
          <w:szCs w:val="20"/>
        </w:rPr>
        <w:t xml:space="preserve"> Goodman, S. </w:t>
      </w:r>
      <w:r>
        <w:rPr>
          <w:i/>
          <w:sz w:val="20"/>
          <w:szCs w:val="20"/>
        </w:rPr>
        <w:t xml:space="preserve">The Difference Between Surviving and Not Surviving: Public Benefits Programs and Domestic and Sexual Violence Victims’ Economic Security </w:t>
      </w:r>
      <w:r>
        <w:rPr>
          <w:sz w:val="20"/>
          <w:szCs w:val="20"/>
        </w:rPr>
        <w:t>(Jan. 2018), available at</w:t>
      </w:r>
      <w:hyperlink r:id="rId6">
        <w:r>
          <w:rPr>
            <w:sz w:val="20"/>
            <w:szCs w:val="20"/>
          </w:rPr>
          <w:t xml:space="preserve"> </w:t>
        </w:r>
      </w:hyperlink>
      <w:hyperlink r:id="rId7">
        <w:r>
          <w:rPr>
            <w:color w:val="1155CC"/>
            <w:sz w:val="20"/>
            <w:szCs w:val="20"/>
            <w:u w:val="single"/>
          </w:rPr>
          <w:t>https://vawnet.org/material/difference-between-surviving-and-not-surviving-public-benefits-programs-and-domestic-and</w:t>
        </w:r>
      </w:hyperlink>
    </w:p>
  </w:footnote>
  <w:footnote w:id="11">
    <w:p w:rsidR="00F82133" w:rsidRDefault="00B00906">
      <w:pPr>
        <w:spacing w:line="240" w:lineRule="auto"/>
        <w:contextualSpacing w:val="0"/>
        <w:rPr>
          <w:sz w:val="20"/>
          <w:szCs w:val="20"/>
        </w:rPr>
      </w:pPr>
      <w:r>
        <w:rPr>
          <w:vertAlign w:val="superscript"/>
        </w:rPr>
        <w:footnoteRef/>
      </w:r>
      <w:r>
        <w:rPr>
          <w:sz w:val="20"/>
          <w:szCs w:val="20"/>
        </w:rPr>
        <w:t xml:space="preserve"> </w:t>
      </w:r>
      <w:proofErr w:type="spellStart"/>
      <w:r>
        <w:rPr>
          <w:sz w:val="20"/>
          <w:szCs w:val="20"/>
        </w:rPr>
        <w:t>Breiding</w:t>
      </w:r>
      <w:proofErr w:type="spellEnd"/>
      <w:r>
        <w:rPr>
          <w:sz w:val="20"/>
          <w:szCs w:val="20"/>
        </w:rPr>
        <w:t xml:space="preserve"> MJ, Black MC, Ryan GW. Chronic disease and health risk behaviors associated with intimate partner violence-18 U.S. sta</w:t>
      </w:r>
      <w:r>
        <w:rPr>
          <w:sz w:val="20"/>
          <w:szCs w:val="20"/>
        </w:rPr>
        <w:t xml:space="preserve">tes/territories, 2005. Ann Epidemiol </w:t>
      </w:r>
      <w:proofErr w:type="gramStart"/>
      <w:r>
        <w:rPr>
          <w:sz w:val="20"/>
          <w:szCs w:val="20"/>
        </w:rPr>
        <w:t>2008;18:538</w:t>
      </w:r>
      <w:proofErr w:type="gramEnd"/>
      <w:r>
        <w:rPr>
          <w:sz w:val="20"/>
          <w:szCs w:val="20"/>
        </w:rPr>
        <w:t>-44.</w:t>
      </w:r>
    </w:p>
  </w:footnote>
  <w:footnote w:id="12">
    <w:p w:rsidR="00F82133" w:rsidRDefault="00B00906">
      <w:pPr>
        <w:spacing w:line="240" w:lineRule="auto"/>
        <w:contextualSpacing w:val="0"/>
        <w:rPr>
          <w:sz w:val="20"/>
          <w:szCs w:val="20"/>
        </w:rPr>
      </w:pPr>
      <w:r>
        <w:rPr>
          <w:vertAlign w:val="superscript"/>
        </w:rPr>
        <w:footnoteRef/>
      </w:r>
      <w:r>
        <w:rPr>
          <w:sz w:val="20"/>
          <w:szCs w:val="20"/>
        </w:rPr>
        <w:t xml:space="preserve"> Centers for Disease Control and Prevention. (2003). Costs of Intimate Partner Violence Against Women in the United States. Available at: </w:t>
      </w:r>
      <w:hyperlink r:id="rId8">
        <w:r>
          <w:rPr>
            <w:color w:val="1155CC"/>
            <w:sz w:val="20"/>
            <w:szCs w:val="20"/>
            <w:u w:val="single"/>
          </w:rPr>
          <w:t>https://www.cdc.gov/violenceprevention/pdf/IPVBook-a.pdf</w:t>
        </w:r>
      </w:hyperlink>
    </w:p>
  </w:footnote>
  <w:footnote w:id="13">
    <w:p w:rsidR="00F82133" w:rsidRDefault="00B00906">
      <w:pPr>
        <w:spacing w:line="240" w:lineRule="auto"/>
        <w:contextualSpacing w:val="0"/>
        <w:rPr>
          <w:color w:val="642A8F"/>
          <w:sz w:val="20"/>
          <w:szCs w:val="20"/>
          <w:u w:val="single"/>
        </w:rPr>
      </w:pPr>
      <w:r>
        <w:rPr>
          <w:vertAlign w:val="superscript"/>
        </w:rPr>
        <w:footnoteRef/>
      </w:r>
      <w:r>
        <w:rPr>
          <w:sz w:val="20"/>
          <w:szCs w:val="20"/>
        </w:rPr>
        <w:t xml:space="preserve"> </w:t>
      </w:r>
      <w:r>
        <w:fldChar w:fldCharType="begin"/>
      </w:r>
      <w:r>
        <w:instrText xml:space="preserve"> HYPERLINK "https://www.ncbi.nlm.nih.gov/pubmed/30166082" </w:instrText>
      </w:r>
      <w:r>
        <w:fldChar w:fldCharType="separate"/>
      </w:r>
      <w:r>
        <w:rPr>
          <w:color w:val="642A8F"/>
          <w:sz w:val="20"/>
          <w:szCs w:val="20"/>
          <w:u w:val="single"/>
        </w:rPr>
        <w:t>Lifetime Economic Burden of Intimate Partner Violence Among U.S. Adults.</w:t>
      </w:r>
    </w:p>
    <w:p w:rsidR="00F82133" w:rsidRDefault="00B00906">
      <w:pPr>
        <w:spacing w:before="40" w:after="40" w:line="240" w:lineRule="auto"/>
        <w:contextualSpacing w:val="0"/>
        <w:rPr>
          <w:sz w:val="20"/>
          <w:szCs w:val="20"/>
        </w:rPr>
      </w:pPr>
      <w:r>
        <w:fldChar w:fldCharType="end"/>
      </w:r>
      <w:r>
        <w:rPr>
          <w:sz w:val="20"/>
          <w:szCs w:val="20"/>
        </w:rPr>
        <w:t xml:space="preserve">Peterson C, Kearns MC, McIntosh WL, Estefan LF, </w:t>
      </w:r>
      <w:proofErr w:type="spellStart"/>
      <w:r>
        <w:rPr>
          <w:sz w:val="20"/>
          <w:szCs w:val="20"/>
        </w:rPr>
        <w:t>Nic</w:t>
      </w:r>
      <w:r>
        <w:rPr>
          <w:sz w:val="20"/>
          <w:szCs w:val="20"/>
        </w:rPr>
        <w:t>olaidis</w:t>
      </w:r>
      <w:proofErr w:type="spellEnd"/>
      <w:r>
        <w:rPr>
          <w:sz w:val="20"/>
          <w:szCs w:val="20"/>
        </w:rPr>
        <w:t xml:space="preserve"> C, McCollister KE, Gordon A, Florence </w:t>
      </w:r>
      <w:proofErr w:type="spellStart"/>
      <w:proofErr w:type="gramStart"/>
      <w:r>
        <w:rPr>
          <w:sz w:val="20"/>
          <w:szCs w:val="20"/>
        </w:rPr>
        <w:t>C.Am</w:t>
      </w:r>
      <w:proofErr w:type="spellEnd"/>
      <w:proofErr w:type="gramEnd"/>
      <w:r>
        <w:rPr>
          <w:sz w:val="20"/>
          <w:szCs w:val="20"/>
        </w:rPr>
        <w:t xml:space="preserve"> J </w:t>
      </w:r>
      <w:proofErr w:type="spellStart"/>
      <w:r>
        <w:rPr>
          <w:sz w:val="20"/>
          <w:szCs w:val="20"/>
        </w:rPr>
        <w:t>Prev</w:t>
      </w:r>
      <w:proofErr w:type="spellEnd"/>
      <w:r>
        <w:rPr>
          <w:sz w:val="20"/>
          <w:szCs w:val="20"/>
        </w:rPr>
        <w:t xml:space="preserve"> Med. 2018 Oct;55(4):433-444. </w:t>
      </w:r>
      <w:proofErr w:type="spellStart"/>
      <w:r>
        <w:rPr>
          <w:sz w:val="20"/>
          <w:szCs w:val="20"/>
        </w:rPr>
        <w:t>doi</w:t>
      </w:r>
      <w:proofErr w:type="spellEnd"/>
      <w:r>
        <w:rPr>
          <w:sz w:val="20"/>
          <w:szCs w:val="20"/>
        </w:rPr>
        <w:t xml:space="preserve">: 10.1016/j.amepre.2018.04.049. </w:t>
      </w:r>
      <w:proofErr w:type="spellStart"/>
      <w:r>
        <w:rPr>
          <w:sz w:val="20"/>
          <w:szCs w:val="20"/>
        </w:rPr>
        <w:t>Epub</w:t>
      </w:r>
      <w:proofErr w:type="spellEnd"/>
      <w:r>
        <w:rPr>
          <w:sz w:val="20"/>
          <w:szCs w:val="20"/>
        </w:rPr>
        <w:t xml:space="preserve"> 2018 Aug 22.</w:t>
      </w:r>
    </w:p>
  </w:footnote>
  <w:footnote w:id="14">
    <w:p w:rsidR="00F82133" w:rsidRDefault="00B00906">
      <w:pPr>
        <w:spacing w:line="240" w:lineRule="auto"/>
        <w:contextualSpacing w:val="0"/>
        <w:rPr>
          <w:sz w:val="20"/>
          <w:szCs w:val="20"/>
        </w:rPr>
      </w:pPr>
      <w:r>
        <w:rPr>
          <w:vertAlign w:val="superscript"/>
        </w:rPr>
        <w:footnoteRef/>
      </w:r>
      <w:r>
        <w:rPr>
          <w:sz w:val="20"/>
          <w:szCs w:val="20"/>
        </w:rPr>
        <w:t xml:space="preserve"> Goodman, S., </w:t>
      </w:r>
      <w:r>
        <w:rPr>
          <w:sz w:val="20"/>
          <w:szCs w:val="20"/>
          <w:u w:val="single"/>
        </w:rPr>
        <w:t>supra</w:t>
      </w:r>
      <w:r>
        <w:rPr>
          <w:sz w:val="20"/>
          <w:szCs w:val="20"/>
        </w:rPr>
        <w:t>, Note 10 at 11</w:t>
      </w:r>
    </w:p>
  </w:footnote>
  <w:footnote w:id="15">
    <w:p w:rsidR="00F82133" w:rsidRDefault="00B00906">
      <w:pPr>
        <w:spacing w:line="240" w:lineRule="auto"/>
        <w:contextualSpacing w:val="0"/>
        <w:rPr>
          <w:sz w:val="20"/>
          <w:szCs w:val="20"/>
        </w:rPr>
      </w:pPr>
      <w:r>
        <w:rPr>
          <w:vertAlign w:val="superscript"/>
        </w:rPr>
        <w:footnoteRef/>
      </w:r>
      <w:r>
        <w:rPr>
          <w:sz w:val="20"/>
          <w:szCs w:val="20"/>
        </w:rPr>
        <w:t xml:space="preserve"> Id. At 13</w:t>
      </w:r>
    </w:p>
  </w:footnote>
  <w:footnote w:id="16">
    <w:p w:rsidR="00F82133" w:rsidRDefault="00B00906">
      <w:pPr>
        <w:spacing w:line="240" w:lineRule="auto"/>
        <w:contextualSpacing w:val="0"/>
        <w:rPr>
          <w:sz w:val="20"/>
          <w:szCs w:val="20"/>
        </w:rPr>
      </w:pPr>
      <w:r>
        <w:rPr>
          <w:vertAlign w:val="superscript"/>
        </w:rPr>
        <w:footnoteRef/>
      </w:r>
      <w:r>
        <w:rPr>
          <w:sz w:val="20"/>
          <w:szCs w:val="20"/>
        </w:rPr>
        <w:t xml:space="preserve"> Lyon, E., Lane, S., &amp; Menard, A. (2008).</w:t>
      </w:r>
      <w:r>
        <w:rPr>
          <w:i/>
          <w:sz w:val="20"/>
          <w:szCs w:val="20"/>
        </w:rPr>
        <w:t xml:space="preserve"> </w:t>
      </w:r>
      <w:r>
        <w:rPr>
          <w:sz w:val="20"/>
          <w:szCs w:val="20"/>
        </w:rPr>
        <w:t xml:space="preserve">Meeting Survivors’ needs: A multi-state study of domestic violence shelter experiences. Washington, DC: National Institute of Justice. At: </w:t>
      </w:r>
      <w:hyperlink r:id="rId9">
        <w:r>
          <w:rPr>
            <w:sz w:val="20"/>
            <w:szCs w:val="20"/>
          </w:rPr>
          <w:t xml:space="preserve"> </w:t>
        </w:r>
      </w:hyperlink>
      <w:hyperlink r:id="rId10">
        <w:r>
          <w:rPr>
            <w:color w:val="1155CC"/>
            <w:sz w:val="20"/>
            <w:szCs w:val="20"/>
            <w:u w:val="single"/>
          </w:rPr>
          <w:t>http://www.vawnet.org/Assoc_Files_VAWnet/MeetingSurvivorsNeeds-FullReport.pdf</w:t>
        </w:r>
      </w:hyperlink>
      <w:r>
        <w:rPr>
          <w:sz w:val="20"/>
          <w:szCs w:val="20"/>
        </w:rPr>
        <w:t>;</w:t>
      </w:r>
    </w:p>
    <w:p w:rsidR="00F82133" w:rsidRDefault="00B00906">
      <w:pPr>
        <w:spacing w:line="240" w:lineRule="auto"/>
        <w:contextualSpacing w:val="0"/>
        <w:rPr>
          <w:sz w:val="20"/>
          <w:szCs w:val="20"/>
        </w:rPr>
      </w:pPr>
      <w:r>
        <w:rPr>
          <w:sz w:val="20"/>
          <w:szCs w:val="20"/>
        </w:rPr>
        <w:t>Lyon, E., Bradshaw, J., &amp; Menard, A. (2011).</w:t>
      </w:r>
      <w:r>
        <w:rPr>
          <w:i/>
          <w:sz w:val="20"/>
          <w:szCs w:val="20"/>
        </w:rPr>
        <w:t xml:space="preserve"> Meeting Survivors’ Needs through Non-Residential Domes</w:t>
      </w:r>
      <w:r>
        <w:rPr>
          <w:i/>
          <w:sz w:val="20"/>
          <w:szCs w:val="20"/>
        </w:rPr>
        <w:t xml:space="preserve">tic Violence Services &amp; Supports: Results of a Multi-State Study. </w:t>
      </w:r>
      <w:r>
        <w:rPr>
          <w:sz w:val="20"/>
          <w:szCs w:val="20"/>
        </w:rPr>
        <w:t>Harrisburg, PA:  National Resource Center on Domestic Violence. At:</w:t>
      </w:r>
      <w:hyperlink r:id="rId11">
        <w:r>
          <w:rPr>
            <w:sz w:val="20"/>
            <w:szCs w:val="20"/>
          </w:rPr>
          <w:t xml:space="preserve"> </w:t>
        </w:r>
      </w:hyperlink>
      <w:hyperlink r:id="rId12">
        <w:r>
          <w:rPr>
            <w:color w:val="1155CC"/>
            <w:sz w:val="20"/>
            <w:szCs w:val="20"/>
            <w:u w:val="single"/>
          </w:rPr>
          <w:t>http://www.vawnet.org/Assoc_Files_VAWnet/DVServicesStudy-FINALReport2011.pdf</w:t>
        </w:r>
      </w:hyperlink>
      <w:r>
        <w:rPr>
          <w:sz w:val="20"/>
          <w:szCs w:val="20"/>
        </w:rPr>
        <w:t xml:space="preserve">; </w:t>
      </w:r>
      <w:proofErr w:type="spellStart"/>
      <w:r>
        <w:rPr>
          <w:sz w:val="20"/>
          <w:szCs w:val="20"/>
        </w:rPr>
        <w:t>Kimerling</w:t>
      </w:r>
      <w:proofErr w:type="spellEnd"/>
      <w:r>
        <w:rPr>
          <w:sz w:val="20"/>
          <w:szCs w:val="20"/>
        </w:rPr>
        <w:t xml:space="preserve">, R., Alvarez, J., </w:t>
      </w:r>
      <w:proofErr w:type="spellStart"/>
      <w:r>
        <w:rPr>
          <w:sz w:val="20"/>
          <w:szCs w:val="20"/>
        </w:rPr>
        <w:t>Pavao</w:t>
      </w:r>
      <w:proofErr w:type="spellEnd"/>
      <w:r>
        <w:rPr>
          <w:sz w:val="20"/>
          <w:szCs w:val="20"/>
        </w:rPr>
        <w:t>, J., Mack. K. P., Smith, M. W., &amp; Baumrind. N. (2009).</w:t>
      </w:r>
      <w:r>
        <w:rPr>
          <w:i/>
          <w:sz w:val="20"/>
          <w:szCs w:val="20"/>
        </w:rPr>
        <w:t xml:space="preserve"> Unemployment Among </w:t>
      </w:r>
      <w:r>
        <w:rPr>
          <w:i/>
          <w:sz w:val="20"/>
          <w:szCs w:val="20"/>
        </w:rPr>
        <w:t xml:space="preserve">Women: Examining the Relationship of Physical and Psychological Intimate Partner Violence and Posttraumatic Stress Disorder. </w:t>
      </w:r>
      <w:r>
        <w:rPr>
          <w:sz w:val="20"/>
          <w:szCs w:val="20"/>
        </w:rPr>
        <w:t>Journal of Interpersonal Violence</w:t>
      </w:r>
      <w:r>
        <w:rPr>
          <w:b/>
          <w:sz w:val="20"/>
          <w:szCs w:val="20"/>
        </w:rPr>
        <w:t xml:space="preserve">, </w:t>
      </w:r>
      <w:r>
        <w:rPr>
          <w:sz w:val="20"/>
          <w:szCs w:val="20"/>
        </w:rPr>
        <w:t>Vol. 24, No. 3, at 450-463.</w:t>
      </w:r>
    </w:p>
  </w:footnote>
  <w:footnote w:id="17">
    <w:p w:rsidR="00F82133" w:rsidRDefault="00B00906">
      <w:pPr>
        <w:spacing w:line="240" w:lineRule="auto"/>
        <w:contextualSpacing w:val="0"/>
        <w:rPr>
          <w:sz w:val="20"/>
          <w:szCs w:val="20"/>
        </w:rPr>
      </w:pPr>
      <w:r>
        <w:rPr>
          <w:vertAlign w:val="superscript"/>
        </w:rPr>
        <w:footnoteRef/>
      </w:r>
      <w:r>
        <w:rPr>
          <w:sz w:val="20"/>
          <w:szCs w:val="20"/>
        </w:rPr>
        <w:t xml:space="preserve"> Eleanor Lyon, </w:t>
      </w:r>
      <w:r>
        <w:rPr>
          <w:b/>
          <w:i/>
          <w:sz w:val="20"/>
          <w:szCs w:val="20"/>
        </w:rPr>
        <w:t>supra,</w:t>
      </w:r>
      <w:r>
        <w:rPr>
          <w:sz w:val="20"/>
          <w:szCs w:val="20"/>
        </w:rPr>
        <w:t xml:space="preserve"> </w:t>
      </w:r>
      <w:proofErr w:type="gramStart"/>
      <w:r>
        <w:rPr>
          <w:sz w:val="20"/>
          <w:szCs w:val="20"/>
        </w:rPr>
        <w:t>Note</w:t>
      </w:r>
      <w:proofErr w:type="gramEnd"/>
      <w:r>
        <w:rPr>
          <w:sz w:val="20"/>
          <w:szCs w:val="20"/>
        </w:rPr>
        <w:t xml:space="preserve"> 5 (“Several studies in the past ten to f</w:t>
      </w:r>
      <w:r>
        <w:rPr>
          <w:sz w:val="20"/>
          <w:szCs w:val="20"/>
        </w:rPr>
        <w:t>ifteen years have documented the importance of economic resources for battered women’s decision-making”).</w:t>
      </w:r>
    </w:p>
  </w:footnote>
  <w:footnote w:id="18">
    <w:p w:rsidR="00F82133" w:rsidRDefault="00B00906">
      <w:pPr>
        <w:spacing w:line="240" w:lineRule="auto"/>
        <w:contextualSpacing w:val="0"/>
        <w:rPr>
          <w:sz w:val="20"/>
          <w:szCs w:val="20"/>
        </w:rPr>
      </w:pPr>
      <w:r>
        <w:rPr>
          <w:vertAlign w:val="superscript"/>
        </w:rPr>
        <w:footnoteRef/>
      </w:r>
      <w:r>
        <w:rPr>
          <w:sz w:val="20"/>
          <w:szCs w:val="20"/>
        </w:rPr>
        <w:t xml:space="preserve"> </w:t>
      </w:r>
      <w:r>
        <w:rPr>
          <w:i/>
          <w:sz w:val="20"/>
          <w:szCs w:val="20"/>
        </w:rPr>
        <w:t xml:space="preserve">See </w:t>
      </w:r>
      <w:r>
        <w:rPr>
          <w:sz w:val="20"/>
          <w:szCs w:val="20"/>
        </w:rPr>
        <w:t xml:space="preserve">Eleanor Lyon, </w:t>
      </w:r>
      <w:r>
        <w:rPr>
          <w:b/>
          <w:i/>
          <w:sz w:val="20"/>
          <w:szCs w:val="20"/>
        </w:rPr>
        <w:t>Poverty, Welfare and Battered Women: What Does the Research Tell Us?</w:t>
      </w:r>
      <w:r>
        <w:rPr>
          <w:i/>
          <w:sz w:val="20"/>
          <w:szCs w:val="20"/>
        </w:rPr>
        <w:t>”</w:t>
      </w:r>
      <w:r>
        <w:rPr>
          <w:sz w:val="20"/>
          <w:szCs w:val="20"/>
        </w:rPr>
        <w:t xml:space="preserve"> National Electronic Network on Violence Against Women 1 (Dec</w:t>
      </w:r>
      <w:r>
        <w:rPr>
          <w:sz w:val="20"/>
          <w:szCs w:val="20"/>
        </w:rPr>
        <w:t>. 1997).</w:t>
      </w:r>
    </w:p>
  </w:footnote>
  <w:footnote w:id="19">
    <w:p w:rsidR="00F82133" w:rsidRDefault="00B00906">
      <w:pPr>
        <w:spacing w:line="240" w:lineRule="auto"/>
        <w:contextualSpacing w:val="0"/>
        <w:rPr>
          <w:sz w:val="20"/>
          <w:szCs w:val="20"/>
        </w:rPr>
      </w:pPr>
      <w:r>
        <w:rPr>
          <w:vertAlign w:val="superscript"/>
        </w:rPr>
        <w:footnoteRef/>
      </w:r>
      <w:r>
        <w:rPr>
          <w:sz w:val="20"/>
          <w:szCs w:val="20"/>
        </w:rPr>
        <w:t xml:space="preserve"> See, e.g., Postmus, J. L., Plummer, S. B., McMahon, S., Murshid, N. S., &amp; and Mi Sung Kim, M. </w:t>
      </w:r>
      <w:proofErr w:type="gramStart"/>
      <w:r>
        <w:rPr>
          <w:sz w:val="20"/>
          <w:szCs w:val="20"/>
        </w:rPr>
        <w:t>S.(</w:t>
      </w:r>
      <w:proofErr w:type="gramEnd"/>
      <w:r>
        <w:rPr>
          <w:sz w:val="20"/>
          <w:szCs w:val="20"/>
        </w:rPr>
        <w:t>2012). Understanding economic abuse in the lives of survivors. Journal of Interpersonal Violence</w:t>
      </w:r>
      <w:r>
        <w:t xml:space="preserve">, </w:t>
      </w:r>
      <w:r>
        <w:rPr>
          <w:sz w:val="20"/>
          <w:szCs w:val="20"/>
        </w:rPr>
        <w:t xml:space="preserve">27(3),411–430., Adams, A, </w:t>
      </w:r>
      <w:proofErr w:type="spellStart"/>
      <w:proofErr w:type="gramStart"/>
      <w:r>
        <w:rPr>
          <w:sz w:val="20"/>
          <w:szCs w:val="20"/>
        </w:rPr>
        <w:t>Sullivan,C</w:t>
      </w:r>
      <w:proofErr w:type="spellEnd"/>
      <w:proofErr w:type="gramEnd"/>
      <w:r>
        <w:rPr>
          <w:sz w:val="20"/>
          <w:szCs w:val="20"/>
        </w:rPr>
        <w:t>,  Bybee, D, &amp;</w:t>
      </w:r>
      <w:r>
        <w:rPr>
          <w:sz w:val="20"/>
          <w:szCs w:val="20"/>
        </w:rPr>
        <w:t xml:space="preserve"> Greeson, M. (2008), Development of the scale of economic abuse. </w:t>
      </w:r>
      <w:r>
        <w:rPr>
          <w:b/>
          <w:i/>
          <w:sz w:val="20"/>
          <w:szCs w:val="20"/>
        </w:rPr>
        <w:t>Violence Against Women</w:t>
      </w:r>
      <w:r>
        <w:rPr>
          <w:sz w:val="20"/>
          <w:szCs w:val="20"/>
        </w:rPr>
        <w:t>, 13, 563-588.</w:t>
      </w:r>
    </w:p>
  </w:footnote>
  <w:footnote w:id="20">
    <w:p w:rsidR="00F82133" w:rsidRDefault="00B00906">
      <w:pPr>
        <w:spacing w:line="240" w:lineRule="auto"/>
        <w:contextualSpacing w:val="0"/>
        <w:rPr>
          <w:sz w:val="20"/>
          <w:szCs w:val="20"/>
        </w:rPr>
      </w:pPr>
      <w:r>
        <w:rPr>
          <w:vertAlign w:val="superscript"/>
        </w:rPr>
        <w:footnoteRef/>
      </w:r>
      <w:r>
        <w:rPr>
          <w:sz w:val="20"/>
          <w:szCs w:val="20"/>
        </w:rPr>
        <w:t xml:space="preserve"> See, e.g., Eleanor Lyon, </w:t>
      </w:r>
      <w:r>
        <w:rPr>
          <w:i/>
          <w:sz w:val="20"/>
          <w:szCs w:val="20"/>
        </w:rPr>
        <w:t>Welfare,</w:t>
      </w:r>
      <w:r>
        <w:rPr>
          <w:sz w:val="20"/>
          <w:szCs w:val="20"/>
        </w:rPr>
        <w:t xml:space="preserve"> </w:t>
      </w:r>
      <w:r>
        <w:rPr>
          <w:i/>
          <w:sz w:val="20"/>
          <w:szCs w:val="20"/>
        </w:rPr>
        <w:t>Poverty and Abused Women: New Research and its Implications</w:t>
      </w:r>
      <w:r>
        <w:rPr>
          <w:sz w:val="20"/>
          <w:szCs w:val="20"/>
        </w:rPr>
        <w:t>, National Resource Center on Domestic Violence (Oct. 2000)</w:t>
      </w:r>
      <w:r>
        <w:rPr>
          <w:sz w:val="20"/>
          <w:szCs w:val="20"/>
        </w:rPr>
        <w:t>, available at</w:t>
      </w:r>
      <w:hyperlink r:id="rId13">
        <w:r>
          <w:rPr>
            <w:sz w:val="20"/>
            <w:szCs w:val="20"/>
          </w:rPr>
          <w:t xml:space="preserve"> </w:t>
        </w:r>
      </w:hyperlink>
      <w:hyperlink r:id="rId14">
        <w:r>
          <w:rPr>
            <w:color w:val="1155CC"/>
            <w:sz w:val="20"/>
            <w:szCs w:val="20"/>
            <w:u w:val="single"/>
          </w:rPr>
          <w:t>https://vawne</w:t>
        </w:r>
        <w:r>
          <w:rPr>
            <w:color w:val="1155CC"/>
            <w:sz w:val="20"/>
            <w:szCs w:val="20"/>
            <w:u w:val="single"/>
          </w:rPr>
          <w:t>t.org/material/welfare-poverty-and-abused-women-new-research-and-its-implications</w:t>
        </w:r>
      </w:hyperlink>
      <w:r>
        <w:rPr>
          <w:sz w:val="20"/>
          <w:szCs w:val="20"/>
        </w:rPr>
        <w:t>;</w:t>
      </w:r>
    </w:p>
  </w:footnote>
  <w:footnote w:id="21">
    <w:p w:rsidR="00F82133" w:rsidRDefault="00B00906">
      <w:pPr>
        <w:spacing w:line="240" w:lineRule="auto"/>
        <w:contextualSpacing w:val="0"/>
        <w:rPr>
          <w:sz w:val="20"/>
          <w:szCs w:val="20"/>
        </w:rPr>
      </w:pPr>
      <w:r>
        <w:rPr>
          <w:vertAlign w:val="superscript"/>
        </w:rPr>
        <w:footnoteRef/>
      </w:r>
      <w:r>
        <w:rPr>
          <w:sz w:val="20"/>
          <w:szCs w:val="20"/>
        </w:rPr>
        <w:t xml:space="preserve"> See, e.g., Rothman, E.F., Hathaway, J., de Vries, H.F., </w:t>
      </w:r>
      <w:proofErr w:type="spellStart"/>
      <w:r>
        <w:rPr>
          <w:sz w:val="20"/>
          <w:szCs w:val="20"/>
        </w:rPr>
        <w:t>Stidsen</w:t>
      </w:r>
      <w:proofErr w:type="spellEnd"/>
      <w:r>
        <w:rPr>
          <w:sz w:val="20"/>
          <w:szCs w:val="20"/>
        </w:rPr>
        <w:t xml:space="preserve">, A. (2007). How Employment Helps Female Victims of Intimate Partner Violence: A Qualitative Study. Journal of Occupational Health Psychology, 12, 136-143. DOI: 10.1037/1076-8998.12.2.136; </w:t>
      </w:r>
    </w:p>
  </w:footnote>
  <w:footnote w:id="22">
    <w:p w:rsidR="00F82133" w:rsidRDefault="00B00906">
      <w:pPr>
        <w:spacing w:line="240" w:lineRule="auto"/>
        <w:contextualSpacing w:val="0"/>
        <w:rPr>
          <w:sz w:val="20"/>
          <w:szCs w:val="20"/>
        </w:rPr>
      </w:pPr>
      <w:r>
        <w:rPr>
          <w:vertAlign w:val="superscript"/>
        </w:rPr>
        <w:footnoteRef/>
      </w:r>
      <w:r>
        <w:rPr>
          <w:sz w:val="20"/>
          <w:szCs w:val="20"/>
        </w:rPr>
        <w:t xml:space="preserve"> </w:t>
      </w:r>
      <w:r>
        <w:rPr>
          <w:sz w:val="20"/>
          <w:szCs w:val="20"/>
        </w:rPr>
        <w:t xml:space="preserve">Anderson, K.M., Renner, L.M., </w:t>
      </w:r>
      <w:proofErr w:type="spellStart"/>
      <w:r>
        <w:rPr>
          <w:sz w:val="20"/>
          <w:szCs w:val="20"/>
        </w:rPr>
        <w:t>Danis</w:t>
      </w:r>
      <w:proofErr w:type="spellEnd"/>
      <w:r>
        <w:rPr>
          <w:sz w:val="20"/>
          <w:szCs w:val="20"/>
        </w:rPr>
        <w:t>, F.S. (2012). Recovery: Resilience and Growth in the Aftermath of Domestic Violence. Violence Against Women, 18(11), 1279-1299. DOI: 10.1177/1077801212470543.</w:t>
      </w:r>
    </w:p>
  </w:footnote>
  <w:footnote w:id="23">
    <w:p w:rsidR="00F82133" w:rsidRDefault="00B00906">
      <w:pPr>
        <w:spacing w:line="240" w:lineRule="auto"/>
        <w:contextualSpacing w:val="0"/>
        <w:rPr>
          <w:sz w:val="20"/>
          <w:szCs w:val="20"/>
        </w:rPr>
      </w:pPr>
      <w:r>
        <w:rPr>
          <w:vertAlign w:val="superscript"/>
        </w:rPr>
        <w:footnoteRef/>
      </w:r>
      <w:r>
        <w:rPr>
          <w:sz w:val="20"/>
          <w:szCs w:val="20"/>
        </w:rPr>
        <w:t xml:space="preserve"> See, e.g., Hoffman, J. (June 17, 2017). Sick and Afraid, So</w:t>
      </w:r>
      <w:r>
        <w:rPr>
          <w:sz w:val="20"/>
          <w:szCs w:val="20"/>
        </w:rPr>
        <w:t xml:space="preserve">me Immigrants Forgo Medical Care. The New York Times. Available at: </w:t>
      </w:r>
      <w:hyperlink r:id="rId15">
        <w:r>
          <w:rPr>
            <w:color w:val="1155CC"/>
            <w:sz w:val="20"/>
            <w:szCs w:val="20"/>
            <w:u w:val="single"/>
          </w:rPr>
          <w:t>https://www.nytimes.com/2017/06/26/health/undocumented-immigrants-health-care.html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77E"/>
    <w:multiLevelType w:val="multilevel"/>
    <w:tmpl w:val="E882581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D2C76"/>
    <w:multiLevelType w:val="multilevel"/>
    <w:tmpl w:val="C942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A3992"/>
    <w:multiLevelType w:val="multilevel"/>
    <w:tmpl w:val="8B585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3E1285"/>
    <w:multiLevelType w:val="multilevel"/>
    <w:tmpl w:val="4322D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A67FF3"/>
    <w:multiLevelType w:val="multilevel"/>
    <w:tmpl w:val="AE8CB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82133"/>
    <w:rsid w:val="00B00906"/>
    <w:rsid w:val="00DF4819"/>
    <w:rsid w:val="00F8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193A7-E36E-4E73-8DAF-54CEF1F0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racoalition.org/images/Documents/MIRA-Public-charge-comment-guidance.pdf" TargetMode="External"/><Relationship Id="rId13" Type="http://schemas.openxmlformats.org/officeDocument/2006/relationships/hyperlink" Target="https://www.cdc.gov/violenceprevention/pdf/NISVS_Report2010-a.pdf"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hyperlink" Target="https://ncadv.org/state-by-st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nedv.org/content/domestic-violence-counts-12th-annual-census-report/" TargetMode="External"/><Relationship Id="rId5" Type="http://schemas.openxmlformats.org/officeDocument/2006/relationships/footnotes" Target="footnotes.xml"/><Relationship Id="rId15" Type="http://schemas.openxmlformats.org/officeDocument/2006/relationships/hyperlink" Target="https://nnedv.org/content/domestic-violence-counts-12th-annual-census-report/" TargetMode="Externa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s://drive.google.com/drive/folders/1QKs7LHwecRJwP-Mo6JkIc_GQP6GvBhZU" TargetMode="External"/><Relationship Id="rId14" Type="http://schemas.openxmlformats.org/officeDocument/2006/relationships/hyperlink" Target="https://crime-data-explorer.fr.cloud.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c.gov/violenceprevention/pdf/IPVBook-a.pdf" TargetMode="External"/><Relationship Id="rId13" Type="http://schemas.openxmlformats.org/officeDocument/2006/relationships/hyperlink" Target="https://vawnet.org/material/welfare-poverty-and-abused-women-new-research-and-its-implications" TargetMode="External"/><Relationship Id="rId3" Type="http://schemas.openxmlformats.org/officeDocument/2006/relationships/hyperlink" Target="https://www.cdc.gov/violenceprevention/pdf/ipv-technicalpackages.pdf" TargetMode="External"/><Relationship Id="rId7" Type="http://schemas.openxmlformats.org/officeDocument/2006/relationships/hyperlink" Target="https://vawnet.org/material/difference-between-surviving-and-not-surviving-public-benefits-programs-and-domestic-and" TargetMode="External"/><Relationship Id="rId12" Type="http://schemas.openxmlformats.org/officeDocument/2006/relationships/hyperlink" Target="http://www.vawnet.org/Assoc_Files_VAWnet/DVServicesStudy-FINALReport2011.pdf" TargetMode="External"/><Relationship Id="rId2" Type="http://schemas.openxmlformats.org/officeDocument/2006/relationships/hyperlink" Target="https://www.cdc.gov/media/releases/2011/p1214_sexual_violence.html" TargetMode="External"/><Relationship Id="rId1" Type="http://schemas.openxmlformats.org/officeDocument/2006/relationships/hyperlink" Target="https://www.cdc.gov/violenceprevention/pdf/NISVS-StateReportBook.pdf" TargetMode="External"/><Relationship Id="rId6" Type="http://schemas.openxmlformats.org/officeDocument/2006/relationships/hyperlink" Target="https://vawnet.org/material/difference-between-surviving-and-not-surviving-public-benefits-programs-and-domestic-and" TargetMode="External"/><Relationship Id="rId11" Type="http://schemas.openxmlformats.org/officeDocument/2006/relationships/hyperlink" Target="http://www.vawnet.org/Assoc_Files_VAWnet/DVServicesStudy-FINALReport2011.pdf" TargetMode="External"/><Relationship Id="rId5" Type="http://schemas.openxmlformats.org/officeDocument/2006/relationships/hyperlink" Target="http://www.nsvrc.org/sites/default/files/NSVRC_Publications_Reports_Housing-and-sexual-violence-overview-of-national-survey.pdf" TargetMode="External"/><Relationship Id="rId15" Type="http://schemas.openxmlformats.org/officeDocument/2006/relationships/hyperlink" Target="https://www.nytimes.com/2017/06/26/health/undocumented-immigrants-health-care.html" TargetMode="External"/><Relationship Id="rId10" Type="http://schemas.openxmlformats.org/officeDocument/2006/relationships/hyperlink" Target="http://new.vawnet.org/Assoc_Files_VAWnet/MeetingSurvivorsNeeds-FullReport.pdf" TargetMode="External"/><Relationship Id="rId4" Type="http://schemas.openxmlformats.org/officeDocument/2006/relationships/hyperlink" Target="https://nnedv.org/content/domestic-violence-counts-12th-annual-census-report/" TargetMode="External"/><Relationship Id="rId9" Type="http://schemas.openxmlformats.org/officeDocument/2006/relationships/hyperlink" Target="http://new.vawnet.org/Assoc_Files_VAWnet/MeetingSurvivorsNeeds-FullReport.pdf" TargetMode="External"/><Relationship Id="rId14" Type="http://schemas.openxmlformats.org/officeDocument/2006/relationships/hyperlink" Target="https://vawnet.org/material/welfare-poverty-and-abused-women-new-research-and-its-i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McAteer</cp:lastModifiedBy>
  <cp:revision>2</cp:revision>
  <dcterms:created xsi:type="dcterms:W3CDTF">2018-11-01T20:48:00Z</dcterms:created>
  <dcterms:modified xsi:type="dcterms:W3CDTF">2018-11-01T20:48:00Z</dcterms:modified>
</cp:coreProperties>
</file>